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E220" w14:textId="6EBBBFAA" w:rsidR="001453DA" w:rsidRDefault="000C1A1A" w:rsidP="002476AC">
      <w:pPr>
        <w:rPr>
          <w:rFonts w:asciiTheme="majorHAnsi" w:hAnsiTheme="majorHAnsi"/>
          <w:b/>
        </w:rPr>
      </w:pPr>
      <w:r w:rsidRPr="008B3D28">
        <w:rPr>
          <w:rFonts w:asciiTheme="majorHAnsi" w:hAnsiTheme="majorHAnsi"/>
          <w:b/>
          <w:noProof/>
          <w:sz w:val="28"/>
          <w:szCs w:val="28"/>
        </w:rPr>
        <w:drawing>
          <wp:anchor distT="0" distB="0" distL="114300" distR="114300" simplePos="0" relativeHeight="251658240" behindDoc="0" locked="0" layoutInCell="1" allowOverlap="1" wp14:anchorId="2CA6C9A9" wp14:editId="133C9990">
            <wp:simplePos x="0" y="0"/>
            <wp:positionH relativeFrom="margin">
              <wp:align>left</wp:align>
            </wp:positionH>
            <wp:positionV relativeFrom="paragraph">
              <wp:posOffset>-175895</wp:posOffset>
            </wp:positionV>
            <wp:extent cx="1938020" cy="800100"/>
            <wp:effectExtent l="0" t="0" r="5080" b="0"/>
            <wp:wrapNone/>
            <wp:docPr id="2" name="Picture 2" descr="Macintosh HD:Users:sambethel:Desktop:GEO_horizontal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mbethel:Desktop:GEO_horizontal_gre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02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B195D" w14:textId="77777777" w:rsidR="001453DA" w:rsidRDefault="001453DA" w:rsidP="002476AC">
      <w:pPr>
        <w:rPr>
          <w:rFonts w:asciiTheme="majorHAnsi" w:hAnsiTheme="majorHAnsi"/>
          <w:b/>
        </w:rPr>
      </w:pPr>
    </w:p>
    <w:p w14:paraId="38D3E71D" w14:textId="77777777" w:rsidR="001B3142" w:rsidRDefault="001B3142" w:rsidP="002476AC">
      <w:pPr>
        <w:rPr>
          <w:rFonts w:asciiTheme="majorHAnsi" w:hAnsiTheme="majorHAnsi"/>
          <w:b/>
        </w:rPr>
      </w:pPr>
    </w:p>
    <w:p w14:paraId="1B59ED92" w14:textId="0F0777AE" w:rsidR="001B3142" w:rsidRDefault="001B3142" w:rsidP="002476AC">
      <w:pPr>
        <w:rPr>
          <w:rFonts w:asciiTheme="majorHAnsi" w:hAnsiTheme="majorHAnsi"/>
          <w:b/>
        </w:rPr>
      </w:pPr>
    </w:p>
    <w:p w14:paraId="0335AAFF" w14:textId="77777777" w:rsidR="00E17956" w:rsidRPr="006603A3" w:rsidRDefault="00E17956" w:rsidP="0093239B">
      <w:pPr>
        <w:pStyle w:val="Budgettext"/>
        <w:rPr>
          <w:rFonts w:asciiTheme="majorHAnsi" w:hAnsiTheme="majorHAnsi"/>
          <w:b/>
          <w:sz w:val="24"/>
          <w:szCs w:val="24"/>
        </w:rPr>
      </w:pPr>
    </w:p>
    <w:p w14:paraId="5D13DCF0" w14:textId="73CD03F1" w:rsidR="00762D04" w:rsidRPr="00671076" w:rsidRDefault="00762D04" w:rsidP="0093239B">
      <w:pPr>
        <w:pStyle w:val="Budgettext"/>
        <w:rPr>
          <w:b/>
          <w:color w:val="124734"/>
          <w:sz w:val="24"/>
        </w:rPr>
      </w:pPr>
      <w:r w:rsidRPr="00671076">
        <w:rPr>
          <w:b/>
          <w:color w:val="124734"/>
          <w:sz w:val="24"/>
        </w:rPr>
        <w:t>Budget</w:t>
      </w:r>
      <w:r w:rsidR="00CD00CE" w:rsidRPr="00671076">
        <w:rPr>
          <w:b/>
          <w:color w:val="124734"/>
          <w:sz w:val="24"/>
        </w:rPr>
        <w:t xml:space="preserve"> and Payment Schedule</w:t>
      </w:r>
      <w:r w:rsidRPr="00671076">
        <w:rPr>
          <w:b/>
          <w:color w:val="124734"/>
          <w:sz w:val="24"/>
        </w:rPr>
        <w:t xml:space="preserve"> </w:t>
      </w:r>
    </w:p>
    <w:p w14:paraId="5E0FDB39" w14:textId="60F53EEE" w:rsidR="00A56C43" w:rsidRPr="00063305" w:rsidRDefault="008D1561" w:rsidP="0093239B">
      <w:pPr>
        <w:pStyle w:val="Budgettext"/>
        <w:rPr>
          <w:rFonts w:eastAsia="Times New Roman"/>
          <w:color w:val="000000"/>
        </w:rPr>
      </w:pPr>
      <w:r>
        <w:rPr>
          <w:rFonts w:eastAsia="Times New Roman"/>
          <w:color w:val="000000"/>
        </w:rPr>
        <w:t xml:space="preserve">DIS: </w:t>
      </w:r>
      <w:r w:rsidR="00B8229E">
        <w:rPr>
          <w:rFonts w:eastAsia="Times New Roman"/>
          <w:color w:val="000000"/>
        </w:rPr>
        <w:t xml:space="preserve">Stockholm </w:t>
      </w:r>
    </w:p>
    <w:p w14:paraId="5BCC1CC5" w14:textId="633F35CE" w:rsidR="008231F8" w:rsidRPr="00171D46" w:rsidRDefault="00006304" w:rsidP="0093239B">
      <w:pPr>
        <w:pStyle w:val="Budgettext"/>
        <w:rPr>
          <w:i/>
        </w:rPr>
      </w:pPr>
      <w:r>
        <w:rPr>
          <w:i/>
        </w:rPr>
        <w:t>Fall Semester</w:t>
      </w:r>
      <w:r w:rsidR="008D1561">
        <w:rPr>
          <w:i/>
        </w:rPr>
        <w:t xml:space="preserve"> 20</w:t>
      </w:r>
      <w:r w:rsidR="00D6074F">
        <w:rPr>
          <w:i/>
        </w:rPr>
        <w:t>2</w:t>
      </w:r>
      <w:r w:rsidR="000378FA">
        <w:rPr>
          <w:i/>
        </w:rPr>
        <w:t>4 &amp; Spring Semester 2025</w:t>
      </w:r>
    </w:p>
    <w:p w14:paraId="6C0760C3" w14:textId="219B964A" w:rsidR="008231F8" w:rsidRPr="006603A3" w:rsidRDefault="008231F8" w:rsidP="0093239B">
      <w:pPr>
        <w:pStyle w:val="Budgettext"/>
      </w:pPr>
    </w:p>
    <w:p w14:paraId="68E16C2C" w14:textId="77777777" w:rsidR="00324E92" w:rsidRPr="00063305" w:rsidRDefault="00324E92" w:rsidP="0093239B">
      <w:pPr>
        <w:pStyle w:val="Budgettext"/>
      </w:pPr>
    </w:p>
    <w:tbl>
      <w:tblPr>
        <w:tblStyle w:val="PlainTable2"/>
        <w:tblW w:w="0" w:type="auto"/>
        <w:tblLook w:val="04A0" w:firstRow="1" w:lastRow="0" w:firstColumn="1" w:lastColumn="0" w:noHBand="0" w:noVBand="1"/>
      </w:tblPr>
      <w:tblGrid>
        <w:gridCol w:w="7582"/>
        <w:gridCol w:w="1747"/>
      </w:tblGrid>
      <w:tr w:rsidR="008231F8" w:rsidRPr="008231F8" w14:paraId="5B236C8D" w14:textId="77777777" w:rsidTr="00691FB1">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582" w:type="dxa"/>
            <w:tcBorders>
              <w:top w:val="nil"/>
              <w:bottom w:val="single" w:sz="4" w:space="0" w:color="auto"/>
            </w:tcBorders>
            <w:vAlign w:val="center"/>
          </w:tcPr>
          <w:p w14:paraId="3661B83E" w14:textId="1DFC54A9" w:rsidR="006C65E6" w:rsidRPr="008231F8" w:rsidRDefault="006C65E6" w:rsidP="00171D46">
            <w:pPr>
              <w:pStyle w:val="Budgettext"/>
              <w:rPr>
                <w:color w:val="124734"/>
              </w:rPr>
            </w:pPr>
            <w:r w:rsidRPr="008231F8">
              <w:rPr>
                <w:color w:val="124734"/>
              </w:rPr>
              <w:t xml:space="preserve">PROGRAM </w:t>
            </w:r>
            <w:r w:rsidR="00925FA8">
              <w:rPr>
                <w:color w:val="124734"/>
              </w:rPr>
              <w:t>FEES</w:t>
            </w:r>
            <w:r w:rsidR="00AD4D84">
              <w:rPr>
                <w:color w:val="124734"/>
              </w:rPr>
              <w:t xml:space="preserve"> PAID TO UO</w:t>
            </w:r>
          </w:p>
        </w:tc>
        <w:tc>
          <w:tcPr>
            <w:tcW w:w="1747" w:type="dxa"/>
            <w:tcBorders>
              <w:top w:val="nil"/>
              <w:bottom w:val="single" w:sz="4" w:space="0" w:color="auto"/>
            </w:tcBorders>
            <w:vAlign w:val="center"/>
          </w:tcPr>
          <w:p w14:paraId="5DE5FCE3" w14:textId="2949CD10" w:rsidR="006C65E6" w:rsidRPr="008231F8" w:rsidRDefault="005813CD" w:rsidP="00171D46">
            <w:pPr>
              <w:pStyle w:val="Budgettext"/>
              <w:cnfStyle w:val="100000000000" w:firstRow="1" w:lastRow="0" w:firstColumn="0" w:lastColumn="0" w:oddVBand="0" w:evenVBand="0" w:oddHBand="0" w:evenHBand="0" w:firstRowFirstColumn="0" w:firstRowLastColumn="0" w:lastRowFirstColumn="0" w:lastRowLastColumn="0"/>
              <w:rPr>
                <w:color w:val="124734"/>
              </w:rPr>
            </w:pPr>
            <w:r w:rsidRPr="008231F8">
              <w:rPr>
                <w:color w:val="124734"/>
              </w:rPr>
              <w:t>AMOUNT</w:t>
            </w:r>
          </w:p>
        </w:tc>
      </w:tr>
      <w:tr w:rsidR="008D1561" w:rsidRPr="00063305" w14:paraId="0596D37C" w14:textId="77777777" w:rsidTr="00691FB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582" w:type="dxa"/>
            <w:tcBorders>
              <w:top w:val="single" w:sz="4" w:space="0" w:color="auto"/>
            </w:tcBorders>
            <w:vAlign w:val="center"/>
          </w:tcPr>
          <w:p w14:paraId="6DB77BD5" w14:textId="009A75FC" w:rsidR="008D1561" w:rsidRPr="00B3486E" w:rsidRDefault="008D1561" w:rsidP="008D1561">
            <w:pPr>
              <w:pStyle w:val="Budgettext"/>
            </w:pPr>
            <w:r w:rsidRPr="00B3486E">
              <w:rPr>
                <w:b w:val="0"/>
              </w:rPr>
              <w:t>UO Study Abroad Fee</w:t>
            </w:r>
            <w:r w:rsidRPr="00B3486E">
              <w:rPr>
                <w:i/>
              </w:rPr>
              <w:t xml:space="preserve"> </w:t>
            </w:r>
            <w:r>
              <w:rPr>
                <w:b w:val="0"/>
              </w:rPr>
              <w:t>($</w:t>
            </w:r>
            <w:r w:rsidR="0098094C">
              <w:rPr>
                <w:b w:val="0"/>
              </w:rPr>
              <w:t>1,000</w:t>
            </w:r>
            <w:r w:rsidRPr="00DA17E8">
              <w:rPr>
                <w:b w:val="0"/>
              </w:rPr>
              <w:t xml:space="preserve"> per UO term)</w:t>
            </w:r>
            <w:r w:rsidRPr="00B3486E">
              <w:t xml:space="preserve"> </w:t>
            </w:r>
          </w:p>
        </w:tc>
        <w:tc>
          <w:tcPr>
            <w:tcW w:w="1747" w:type="dxa"/>
            <w:tcBorders>
              <w:top w:val="single" w:sz="4" w:space="0" w:color="auto"/>
            </w:tcBorders>
            <w:vAlign w:val="center"/>
          </w:tcPr>
          <w:p w14:paraId="33169D21" w14:textId="19BAD513" w:rsidR="008D1561" w:rsidRDefault="008D1561" w:rsidP="00006304">
            <w:pPr>
              <w:pStyle w:val="Budgettext"/>
              <w:cnfStyle w:val="000000100000" w:firstRow="0" w:lastRow="0" w:firstColumn="0" w:lastColumn="0" w:oddVBand="0" w:evenVBand="0" w:oddHBand="1" w:evenHBand="0" w:firstRowFirstColumn="0" w:firstRowLastColumn="0" w:lastRowFirstColumn="0" w:lastRowLastColumn="0"/>
            </w:pPr>
            <w:r>
              <w:t>$</w:t>
            </w:r>
            <w:r w:rsidR="0098094C">
              <w:t>1,000</w:t>
            </w:r>
          </w:p>
        </w:tc>
      </w:tr>
      <w:tr w:rsidR="008D1561" w:rsidRPr="00063305" w14:paraId="1D65D4E8" w14:textId="77777777" w:rsidTr="00691FB1">
        <w:trPr>
          <w:trHeight w:val="352"/>
        </w:trPr>
        <w:tc>
          <w:tcPr>
            <w:cnfStyle w:val="001000000000" w:firstRow="0" w:lastRow="0" w:firstColumn="1" w:lastColumn="0" w:oddVBand="0" w:evenVBand="0" w:oddHBand="0" w:evenHBand="0" w:firstRowFirstColumn="0" w:firstRowLastColumn="0" w:lastRowFirstColumn="0" w:lastRowLastColumn="0"/>
            <w:tcW w:w="7582" w:type="dxa"/>
            <w:tcBorders>
              <w:top w:val="single" w:sz="4" w:space="0" w:color="auto"/>
            </w:tcBorders>
            <w:vAlign w:val="center"/>
          </w:tcPr>
          <w:p w14:paraId="2D1B0C6D" w14:textId="136D4192" w:rsidR="008D1561" w:rsidRPr="008D1561" w:rsidRDefault="008D1561" w:rsidP="008D1561">
            <w:pPr>
              <w:pStyle w:val="Budgettext"/>
              <w:rPr>
                <w:b w:val="0"/>
              </w:rPr>
            </w:pPr>
            <w:r w:rsidRPr="008D1561">
              <w:rPr>
                <w:b w:val="0"/>
              </w:rPr>
              <w:t xml:space="preserve">Estimated DIS tuition </w:t>
            </w:r>
          </w:p>
        </w:tc>
        <w:tc>
          <w:tcPr>
            <w:tcW w:w="1747" w:type="dxa"/>
            <w:tcBorders>
              <w:top w:val="single" w:sz="4" w:space="0" w:color="auto"/>
            </w:tcBorders>
            <w:vAlign w:val="center"/>
          </w:tcPr>
          <w:p w14:paraId="01B87B7B" w14:textId="10508C85" w:rsidR="008D1561" w:rsidRDefault="008D1561" w:rsidP="00006304">
            <w:pPr>
              <w:pStyle w:val="Budgettext"/>
              <w:cnfStyle w:val="000000000000" w:firstRow="0" w:lastRow="0" w:firstColumn="0" w:lastColumn="0" w:oddVBand="0" w:evenVBand="0" w:oddHBand="0" w:evenHBand="0" w:firstRowFirstColumn="0" w:firstRowLastColumn="0" w:lastRowFirstColumn="0" w:lastRowLastColumn="0"/>
            </w:pPr>
            <w:r>
              <w:t>$</w:t>
            </w:r>
            <w:r w:rsidR="00F55EF1">
              <w:t>2</w:t>
            </w:r>
            <w:r w:rsidR="000378FA">
              <w:t>2</w:t>
            </w:r>
            <w:r w:rsidR="00671076">
              <w:t>,</w:t>
            </w:r>
            <w:r w:rsidR="000378FA">
              <w:t>050</w:t>
            </w:r>
          </w:p>
        </w:tc>
      </w:tr>
      <w:tr w:rsidR="008D1561" w:rsidRPr="00063305" w14:paraId="5AA2E884" w14:textId="77777777" w:rsidTr="00691FB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582" w:type="dxa"/>
            <w:tcBorders>
              <w:top w:val="single" w:sz="4" w:space="0" w:color="auto"/>
            </w:tcBorders>
            <w:vAlign w:val="center"/>
          </w:tcPr>
          <w:p w14:paraId="2A5654C3" w14:textId="68644139" w:rsidR="008D1561" w:rsidRPr="001649F9" w:rsidRDefault="008D1561" w:rsidP="008D1561">
            <w:pPr>
              <w:pStyle w:val="Budgettext"/>
              <w:rPr>
                <w:b w:val="0"/>
              </w:rPr>
            </w:pPr>
            <w:r>
              <w:rPr>
                <w:b w:val="0"/>
              </w:rPr>
              <w:t>Estimated DIS Housing</w:t>
            </w:r>
            <w:r w:rsidRPr="00B3486E">
              <w:t xml:space="preserve"> </w:t>
            </w:r>
          </w:p>
        </w:tc>
        <w:tc>
          <w:tcPr>
            <w:tcW w:w="1747" w:type="dxa"/>
            <w:tcBorders>
              <w:top w:val="single" w:sz="4" w:space="0" w:color="auto"/>
            </w:tcBorders>
            <w:vAlign w:val="center"/>
          </w:tcPr>
          <w:p w14:paraId="4CFE80E0" w14:textId="491DFE05" w:rsidR="008D1561" w:rsidRPr="00063305" w:rsidRDefault="008D1561" w:rsidP="00006304">
            <w:pPr>
              <w:pStyle w:val="Budgettext"/>
              <w:cnfStyle w:val="000000100000" w:firstRow="0" w:lastRow="0" w:firstColumn="0" w:lastColumn="0" w:oddVBand="0" w:evenVBand="0" w:oddHBand="1" w:evenHBand="0" w:firstRowFirstColumn="0" w:firstRowLastColumn="0" w:lastRowFirstColumn="0" w:lastRowLastColumn="0"/>
            </w:pPr>
            <w:r>
              <w:t>$</w:t>
            </w:r>
            <w:r w:rsidR="000378FA">
              <w:t>7</w:t>
            </w:r>
            <w:r w:rsidR="00006304">
              <w:t>,</w:t>
            </w:r>
            <w:r w:rsidR="000378FA">
              <w:t>1</w:t>
            </w:r>
            <w:r w:rsidR="00C0641F">
              <w:t>25</w:t>
            </w:r>
          </w:p>
        </w:tc>
      </w:tr>
      <w:tr w:rsidR="00D6074F" w:rsidRPr="00063305" w14:paraId="2B1520F3" w14:textId="77777777" w:rsidTr="00691FB1">
        <w:trPr>
          <w:trHeight w:val="352"/>
        </w:trPr>
        <w:tc>
          <w:tcPr>
            <w:cnfStyle w:val="001000000000" w:firstRow="0" w:lastRow="0" w:firstColumn="1" w:lastColumn="0" w:oddVBand="0" w:evenVBand="0" w:oddHBand="0" w:evenHBand="0" w:firstRowFirstColumn="0" w:firstRowLastColumn="0" w:lastRowFirstColumn="0" w:lastRowLastColumn="0"/>
            <w:tcW w:w="7582" w:type="dxa"/>
            <w:tcBorders>
              <w:top w:val="single" w:sz="4" w:space="0" w:color="auto"/>
            </w:tcBorders>
            <w:vAlign w:val="center"/>
          </w:tcPr>
          <w:p w14:paraId="69A118E0" w14:textId="184D6AC8" w:rsidR="00D6074F" w:rsidRPr="00D6074F" w:rsidRDefault="00D6074F" w:rsidP="008D1561">
            <w:pPr>
              <w:pStyle w:val="Budgettext"/>
              <w:rPr>
                <w:b w:val="0"/>
              </w:rPr>
            </w:pPr>
            <w:r w:rsidRPr="00D6074F">
              <w:rPr>
                <w:b w:val="0"/>
              </w:rPr>
              <w:t>Estimated</w:t>
            </w:r>
            <w:r>
              <w:rPr>
                <w:b w:val="0"/>
              </w:rPr>
              <w:t xml:space="preserve"> DIS Residence Permit Fee</w:t>
            </w:r>
            <w:r w:rsidR="00C0641F">
              <w:rPr>
                <w:b w:val="0"/>
              </w:rPr>
              <w:t>*</w:t>
            </w:r>
          </w:p>
        </w:tc>
        <w:tc>
          <w:tcPr>
            <w:tcW w:w="1747" w:type="dxa"/>
            <w:tcBorders>
              <w:top w:val="single" w:sz="4" w:space="0" w:color="auto"/>
            </w:tcBorders>
            <w:vAlign w:val="center"/>
          </w:tcPr>
          <w:p w14:paraId="64444B99" w14:textId="33A4040F" w:rsidR="00D6074F" w:rsidRDefault="00D6074F" w:rsidP="00006304">
            <w:pPr>
              <w:pStyle w:val="Budgettext"/>
              <w:cnfStyle w:val="000000000000" w:firstRow="0" w:lastRow="0" w:firstColumn="0" w:lastColumn="0" w:oddVBand="0" w:evenVBand="0" w:oddHBand="0" w:evenHBand="0" w:firstRowFirstColumn="0" w:firstRowLastColumn="0" w:lastRowFirstColumn="0" w:lastRowLastColumn="0"/>
            </w:pPr>
            <w:r>
              <w:t>$</w:t>
            </w:r>
            <w:r w:rsidR="009A58BC">
              <w:t>1</w:t>
            </w:r>
            <w:r w:rsidR="000378FA">
              <w:t>55</w:t>
            </w:r>
          </w:p>
        </w:tc>
      </w:tr>
      <w:tr w:rsidR="008D1561" w:rsidRPr="00063305" w14:paraId="20D3A40E" w14:textId="77777777" w:rsidTr="00691FB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582" w:type="dxa"/>
            <w:tcBorders>
              <w:top w:val="single" w:sz="4" w:space="0" w:color="auto"/>
              <w:bottom w:val="nil"/>
            </w:tcBorders>
            <w:shd w:val="clear" w:color="auto" w:fill="auto"/>
            <w:vAlign w:val="center"/>
          </w:tcPr>
          <w:p w14:paraId="450E0B85" w14:textId="62E9D804" w:rsidR="008D1561" w:rsidRPr="00063305" w:rsidRDefault="008D1561" w:rsidP="008D1561">
            <w:pPr>
              <w:pStyle w:val="Budgettext"/>
              <w:rPr>
                <w:b w:val="0"/>
                <w:color w:val="FFFFFF" w:themeColor="background1"/>
              </w:rPr>
            </w:pPr>
            <w:r w:rsidRPr="00063305">
              <w:rPr>
                <w:b w:val="0"/>
              </w:rPr>
              <w:t xml:space="preserve">TOTAL PROGRAM </w:t>
            </w:r>
            <w:r>
              <w:rPr>
                <w:b w:val="0"/>
              </w:rPr>
              <w:t>FEES</w:t>
            </w:r>
            <w:r w:rsidRPr="00063305">
              <w:rPr>
                <w:b w:val="0"/>
              </w:rPr>
              <w:t xml:space="preserve"> </w:t>
            </w:r>
            <w:r>
              <w:rPr>
                <w:b w:val="0"/>
              </w:rPr>
              <w:t>PAID TO UO</w:t>
            </w:r>
          </w:p>
        </w:tc>
        <w:tc>
          <w:tcPr>
            <w:tcW w:w="1747" w:type="dxa"/>
            <w:tcBorders>
              <w:top w:val="single" w:sz="4" w:space="0" w:color="auto"/>
              <w:bottom w:val="nil"/>
            </w:tcBorders>
            <w:vAlign w:val="center"/>
          </w:tcPr>
          <w:p w14:paraId="46DCD491" w14:textId="00366AFD" w:rsidR="008D1561" w:rsidRPr="00063305" w:rsidRDefault="008D1561" w:rsidP="00347048">
            <w:pPr>
              <w:pStyle w:val="Budgettext"/>
              <w:cnfStyle w:val="000000100000" w:firstRow="0" w:lastRow="0" w:firstColumn="0" w:lastColumn="0" w:oddVBand="0" w:evenVBand="0" w:oddHBand="1" w:evenHBand="0" w:firstRowFirstColumn="0" w:firstRowLastColumn="0" w:lastRowFirstColumn="0" w:lastRowLastColumn="0"/>
            </w:pPr>
            <w:r w:rsidRPr="00063305">
              <w:t>$</w:t>
            </w:r>
            <w:r w:rsidR="000378FA">
              <w:t>30</w:t>
            </w:r>
            <w:r w:rsidR="00006304">
              <w:t>,</w:t>
            </w:r>
            <w:r w:rsidR="000378FA">
              <w:t>330</w:t>
            </w:r>
          </w:p>
        </w:tc>
      </w:tr>
    </w:tbl>
    <w:p w14:paraId="451F2032" w14:textId="2FD09406" w:rsidR="008231F8" w:rsidRDefault="008231F8" w:rsidP="0093239B">
      <w:pPr>
        <w:pStyle w:val="Budgettext"/>
        <w:rPr>
          <w:i/>
        </w:rPr>
      </w:pPr>
    </w:p>
    <w:p w14:paraId="6FCB8404" w14:textId="772314AD" w:rsidR="00D6074F" w:rsidRPr="009A58BC" w:rsidRDefault="00C0641F" w:rsidP="0093239B">
      <w:pPr>
        <w:pStyle w:val="Budgettext"/>
        <w:rPr>
          <w:i/>
          <w:sz w:val="20"/>
          <w:szCs w:val="20"/>
        </w:rPr>
      </w:pPr>
      <w:r w:rsidRPr="009A58BC">
        <w:rPr>
          <w:i/>
          <w:sz w:val="20"/>
          <w:szCs w:val="20"/>
        </w:rPr>
        <w:t>*Subject to change</w:t>
      </w:r>
    </w:p>
    <w:p w14:paraId="17DD26B6" w14:textId="77777777" w:rsidR="00C0641F" w:rsidRPr="006603A3" w:rsidRDefault="00C0641F" w:rsidP="0093239B">
      <w:pPr>
        <w:pStyle w:val="Budgettext"/>
        <w:rPr>
          <w:i/>
          <w:sz w:val="24"/>
          <w:szCs w:val="24"/>
        </w:rPr>
      </w:pPr>
    </w:p>
    <w:p w14:paraId="2608436D" w14:textId="3D993A33" w:rsidR="008231F8" w:rsidRPr="00D6074F" w:rsidRDefault="00D6074F" w:rsidP="0093239B">
      <w:pPr>
        <w:pStyle w:val="Budgettext"/>
        <w:rPr>
          <w:szCs w:val="21"/>
        </w:rPr>
      </w:pPr>
      <w:r w:rsidRPr="00D6074F">
        <w:rPr>
          <w:b/>
          <w:color w:val="124734"/>
          <w:szCs w:val="21"/>
        </w:rPr>
        <w:t xml:space="preserve">Included in Program Costs: </w:t>
      </w:r>
      <w:r w:rsidRPr="00D6074F">
        <w:rPr>
          <w:szCs w:val="21"/>
        </w:rPr>
        <w:t>Tuition, Course-integrated study tour</w:t>
      </w:r>
      <w:r>
        <w:rPr>
          <w:szCs w:val="21"/>
        </w:rPr>
        <w:t>s</w:t>
      </w:r>
      <w:r w:rsidRPr="00D6074F">
        <w:rPr>
          <w:szCs w:val="21"/>
        </w:rPr>
        <w:t xml:space="preserve">, Course materials and textbook rental, Local transportation pass, Group pick-up at airport on arrival day, </w:t>
      </w:r>
      <w:proofErr w:type="gramStart"/>
      <w:r w:rsidRPr="00D6074F">
        <w:rPr>
          <w:szCs w:val="21"/>
        </w:rPr>
        <w:t>Medical</w:t>
      </w:r>
      <w:proofErr w:type="gramEnd"/>
      <w:r w:rsidRPr="00D6074F">
        <w:rPr>
          <w:szCs w:val="21"/>
        </w:rPr>
        <w:t xml:space="preserve"> insurance, On-site orientation, Pre-departure orientation and on-site support.</w:t>
      </w:r>
    </w:p>
    <w:p w14:paraId="75D1E5F2" w14:textId="77777777" w:rsidR="00D6074F" w:rsidRPr="00C0641F" w:rsidRDefault="00D6074F" w:rsidP="0093239B">
      <w:pPr>
        <w:pStyle w:val="Budgettext"/>
        <w:rPr>
          <w:sz w:val="18"/>
          <w:szCs w:val="18"/>
          <w:u w:val="single"/>
        </w:rPr>
      </w:pPr>
    </w:p>
    <w:p w14:paraId="4082454E" w14:textId="77777777" w:rsidR="00BF6993" w:rsidRPr="00063305" w:rsidRDefault="00BF6993" w:rsidP="0093239B">
      <w:pPr>
        <w:pStyle w:val="Budgettext"/>
        <w:rPr>
          <w:u w:val="single"/>
        </w:rPr>
      </w:pPr>
    </w:p>
    <w:tbl>
      <w:tblPr>
        <w:tblStyle w:val="PlainTable2"/>
        <w:tblW w:w="9464" w:type="dxa"/>
        <w:tblLook w:val="04A0" w:firstRow="1" w:lastRow="0" w:firstColumn="1" w:lastColumn="0" w:noHBand="0" w:noVBand="1"/>
      </w:tblPr>
      <w:tblGrid>
        <w:gridCol w:w="7447"/>
        <w:gridCol w:w="2017"/>
      </w:tblGrid>
      <w:tr w:rsidR="008231F8" w:rsidRPr="008231F8" w14:paraId="0DF98F37" w14:textId="77777777" w:rsidTr="00691FB1">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7" w:type="dxa"/>
            <w:tcBorders>
              <w:top w:val="nil"/>
              <w:bottom w:val="single" w:sz="4" w:space="0" w:color="auto"/>
            </w:tcBorders>
            <w:vAlign w:val="center"/>
          </w:tcPr>
          <w:p w14:paraId="46C41520" w14:textId="3FD0F809" w:rsidR="00CD00CE" w:rsidRPr="008231F8" w:rsidRDefault="00AD4D84" w:rsidP="00171D46">
            <w:pPr>
              <w:pStyle w:val="Budgettext"/>
              <w:rPr>
                <w:color w:val="124734"/>
              </w:rPr>
            </w:pPr>
            <w:r>
              <w:rPr>
                <w:color w:val="124734"/>
              </w:rPr>
              <w:t xml:space="preserve">PROVIDER PROGRAM FEES &amp; </w:t>
            </w:r>
            <w:r w:rsidR="00CD00CE" w:rsidRPr="008231F8">
              <w:rPr>
                <w:color w:val="124734"/>
              </w:rPr>
              <w:t xml:space="preserve">ESTIMATED </w:t>
            </w:r>
            <w:r w:rsidR="00317D1E" w:rsidRPr="008231F8">
              <w:rPr>
                <w:color w:val="124734"/>
              </w:rPr>
              <w:t>ADDITIONAL EXPENSES</w:t>
            </w:r>
          </w:p>
        </w:tc>
        <w:tc>
          <w:tcPr>
            <w:tcW w:w="2017" w:type="dxa"/>
            <w:tcBorders>
              <w:top w:val="nil"/>
              <w:bottom w:val="single" w:sz="4" w:space="0" w:color="auto"/>
            </w:tcBorders>
            <w:vAlign w:val="center"/>
          </w:tcPr>
          <w:p w14:paraId="6B6B49C2" w14:textId="4073321E" w:rsidR="00CD00CE" w:rsidRPr="008231F8" w:rsidRDefault="005813CD" w:rsidP="00171D46">
            <w:pPr>
              <w:pStyle w:val="Budgettext"/>
              <w:cnfStyle w:val="100000000000" w:firstRow="1" w:lastRow="0" w:firstColumn="0" w:lastColumn="0" w:oddVBand="0" w:evenVBand="0" w:oddHBand="0" w:evenHBand="0" w:firstRowFirstColumn="0" w:firstRowLastColumn="0" w:lastRowFirstColumn="0" w:lastRowLastColumn="0"/>
              <w:rPr>
                <w:color w:val="124734"/>
              </w:rPr>
            </w:pPr>
            <w:r w:rsidRPr="008231F8">
              <w:rPr>
                <w:color w:val="124734"/>
              </w:rPr>
              <w:t>AMOUNT</w:t>
            </w:r>
          </w:p>
        </w:tc>
      </w:tr>
      <w:tr w:rsidR="0083039B" w:rsidRPr="00063305" w14:paraId="58FC3E43" w14:textId="77777777" w:rsidTr="00691FB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447" w:type="dxa"/>
            <w:tcBorders>
              <w:top w:val="single" w:sz="4" w:space="0" w:color="auto"/>
            </w:tcBorders>
            <w:vAlign w:val="center"/>
          </w:tcPr>
          <w:p w14:paraId="5B0174DB" w14:textId="39872FE2" w:rsidR="0083039B" w:rsidRPr="00063305" w:rsidRDefault="0083039B" w:rsidP="0083039B">
            <w:pPr>
              <w:pStyle w:val="Budgettext"/>
              <w:rPr>
                <w:b w:val="0"/>
              </w:rPr>
            </w:pPr>
            <w:r w:rsidRPr="00063305">
              <w:rPr>
                <w:b w:val="0"/>
              </w:rPr>
              <w:t>Estimated Airfare from Eugene</w:t>
            </w:r>
            <w:r w:rsidR="008C6D53">
              <w:rPr>
                <w:b w:val="0"/>
              </w:rPr>
              <w:t xml:space="preserve"> to </w:t>
            </w:r>
            <w:r w:rsidR="004033C9" w:rsidRPr="004033C9">
              <w:rPr>
                <w:rFonts w:eastAsia="Times New Roman"/>
                <w:b w:val="0"/>
                <w:color w:val="000000"/>
              </w:rPr>
              <w:t>Copenhagen</w:t>
            </w:r>
          </w:p>
        </w:tc>
        <w:tc>
          <w:tcPr>
            <w:tcW w:w="2017" w:type="dxa"/>
            <w:tcBorders>
              <w:top w:val="single" w:sz="4" w:space="0" w:color="auto"/>
            </w:tcBorders>
            <w:vAlign w:val="center"/>
          </w:tcPr>
          <w:p w14:paraId="61ECEAE5" w14:textId="6D3DC555" w:rsidR="0083039B" w:rsidRPr="00063305" w:rsidRDefault="0083039B" w:rsidP="0083039B">
            <w:pPr>
              <w:pStyle w:val="Budgettex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sidR="008D1561">
              <w:rPr>
                <w:rFonts w:eastAsia="Times New Roman"/>
              </w:rPr>
              <w:t>1,</w:t>
            </w:r>
            <w:r w:rsidR="000378FA">
              <w:rPr>
                <w:rFonts w:eastAsia="Times New Roman"/>
              </w:rPr>
              <w:t>8</w:t>
            </w:r>
            <w:r w:rsidR="008D1561">
              <w:rPr>
                <w:rFonts w:eastAsia="Times New Roman"/>
              </w:rPr>
              <w:t>00</w:t>
            </w:r>
          </w:p>
        </w:tc>
      </w:tr>
      <w:tr w:rsidR="0083039B" w:rsidRPr="00063305" w14:paraId="0A706B65" w14:textId="77777777" w:rsidTr="00691FB1">
        <w:trPr>
          <w:trHeight w:val="363"/>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5FED7FD5" w14:textId="79ED86CB" w:rsidR="0083039B" w:rsidRPr="00063305" w:rsidRDefault="0083039B" w:rsidP="0083039B">
            <w:pPr>
              <w:pStyle w:val="Budgettext"/>
              <w:rPr>
                <w:b w:val="0"/>
              </w:rPr>
            </w:pPr>
            <w:r w:rsidRPr="00063305">
              <w:rPr>
                <w:b w:val="0"/>
              </w:rPr>
              <w:t>Estimated Additional Meals</w:t>
            </w:r>
          </w:p>
        </w:tc>
        <w:tc>
          <w:tcPr>
            <w:tcW w:w="2017" w:type="dxa"/>
            <w:vAlign w:val="center"/>
          </w:tcPr>
          <w:p w14:paraId="354DF302" w14:textId="71747968" w:rsidR="0083039B" w:rsidRPr="00063305" w:rsidRDefault="0083039B" w:rsidP="00006304">
            <w:pPr>
              <w:pStyle w:val="Budge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w:t>
            </w:r>
            <w:r w:rsidR="00D6074F">
              <w:rPr>
                <w:rFonts w:eastAsia="Times New Roman"/>
              </w:rPr>
              <w:t>2</w:t>
            </w:r>
            <w:r w:rsidR="00671076">
              <w:rPr>
                <w:rFonts w:eastAsia="Times New Roman"/>
              </w:rPr>
              <w:t>,</w:t>
            </w:r>
            <w:r w:rsidR="00D6074F">
              <w:rPr>
                <w:rFonts w:eastAsia="Times New Roman"/>
              </w:rPr>
              <w:t>5</w:t>
            </w:r>
            <w:r w:rsidR="00006304">
              <w:rPr>
                <w:rFonts w:eastAsia="Times New Roman"/>
              </w:rPr>
              <w:t>00</w:t>
            </w:r>
          </w:p>
        </w:tc>
      </w:tr>
      <w:tr w:rsidR="0083039B" w:rsidRPr="00063305" w14:paraId="70F57B6E" w14:textId="77777777" w:rsidTr="00691FB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4882B7CE" w14:textId="78C308C1" w:rsidR="0083039B" w:rsidRPr="00063305" w:rsidDel="005813CD" w:rsidRDefault="0083039B" w:rsidP="0083039B">
            <w:pPr>
              <w:pStyle w:val="Budgettext"/>
              <w:rPr>
                <w:b w:val="0"/>
              </w:rPr>
            </w:pPr>
            <w:r w:rsidRPr="00063305">
              <w:rPr>
                <w:b w:val="0"/>
              </w:rPr>
              <w:t>Estimated Cell Phone Expenses</w:t>
            </w:r>
          </w:p>
        </w:tc>
        <w:tc>
          <w:tcPr>
            <w:tcW w:w="2017" w:type="dxa"/>
            <w:vAlign w:val="center"/>
          </w:tcPr>
          <w:p w14:paraId="59D23985" w14:textId="2F0317F0" w:rsidR="0083039B" w:rsidRPr="00063305" w:rsidRDefault="0083039B" w:rsidP="00006304">
            <w:pPr>
              <w:pStyle w:val="Budgettex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sidR="00D6074F">
              <w:rPr>
                <w:rFonts w:eastAsia="Times New Roman"/>
              </w:rPr>
              <w:t>250</w:t>
            </w:r>
          </w:p>
        </w:tc>
      </w:tr>
      <w:tr w:rsidR="0083039B" w:rsidRPr="00063305" w14:paraId="68A0CE53" w14:textId="77777777" w:rsidTr="00691FB1">
        <w:trPr>
          <w:trHeight w:val="363"/>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028F010C" w14:textId="6AFEA92B" w:rsidR="0083039B" w:rsidRPr="00063305" w:rsidRDefault="0083039B" w:rsidP="0083039B">
            <w:pPr>
              <w:pStyle w:val="Budgettext"/>
              <w:rPr>
                <w:b w:val="0"/>
                <w:color w:val="000000"/>
              </w:rPr>
            </w:pPr>
            <w:r w:rsidRPr="00063305">
              <w:rPr>
                <w:b w:val="0"/>
                <w:color w:val="000000"/>
              </w:rPr>
              <w:t>Estimated Travel Clinic &amp; Pre-departure physical</w:t>
            </w:r>
          </w:p>
        </w:tc>
        <w:tc>
          <w:tcPr>
            <w:tcW w:w="2017" w:type="dxa"/>
            <w:vAlign w:val="center"/>
          </w:tcPr>
          <w:p w14:paraId="4327CAED" w14:textId="11B8D70F" w:rsidR="0083039B" w:rsidRPr="00063305" w:rsidRDefault="0083039B" w:rsidP="0083039B">
            <w:pPr>
              <w:pStyle w:val="Budge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w:t>
            </w:r>
            <w:r w:rsidRPr="00063305">
              <w:rPr>
                <w:rFonts w:eastAsia="Times New Roman"/>
              </w:rPr>
              <w:t>50</w:t>
            </w:r>
          </w:p>
        </w:tc>
      </w:tr>
      <w:tr w:rsidR="0083039B" w:rsidRPr="00063305" w14:paraId="627722C7" w14:textId="77777777" w:rsidTr="00691FB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73FF0D41" w14:textId="23781053" w:rsidR="0083039B" w:rsidRPr="00063305" w:rsidDel="005813CD" w:rsidRDefault="0083039B" w:rsidP="0083039B">
            <w:pPr>
              <w:pStyle w:val="Budgettext"/>
              <w:rPr>
                <w:b w:val="0"/>
                <w:color w:val="000000"/>
              </w:rPr>
            </w:pPr>
            <w:r w:rsidRPr="00063305">
              <w:rPr>
                <w:b w:val="0"/>
                <w:color w:val="000000"/>
              </w:rPr>
              <w:t>Estimated Cost of acquiring passport</w:t>
            </w:r>
          </w:p>
        </w:tc>
        <w:tc>
          <w:tcPr>
            <w:tcW w:w="2017" w:type="dxa"/>
            <w:vAlign w:val="center"/>
          </w:tcPr>
          <w:p w14:paraId="1AAC63A3" w14:textId="7B1F0CF3" w:rsidR="0083039B" w:rsidRPr="00063305" w:rsidRDefault="0083039B" w:rsidP="0083039B">
            <w:pPr>
              <w:pStyle w:val="Budgettex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sidRPr="00063305">
              <w:rPr>
                <w:rFonts w:eastAsia="Times New Roman"/>
              </w:rPr>
              <w:t>150</w:t>
            </w:r>
          </w:p>
        </w:tc>
      </w:tr>
      <w:tr w:rsidR="0083039B" w:rsidRPr="00063305" w14:paraId="10CEC6EE" w14:textId="77777777" w:rsidTr="00691FB1">
        <w:trPr>
          <w:trHeight w:val="363"/>
        </w:trPr>
        <w:tc>
          <w:tcPr>
            <w:cnfStyle w:val="001000000000" w:firstRow="0" w:lastRow="0" w:firstColumn="1" w:lastColumn="0" w:oddVBand="0" w:evenVBand="0" w:oddHBand="0" w:evenHBand="0" w:firstRowFirstColumn="0" w:firstRowLastColumn="0" w:lastRowFirstColumn="0" w:lastRowLastColumn="0"/>
            <w:tcW w:w="7447" w:type="dxa"/>
            <w:tcBorders>
              <w:bottom w:val="single" w:sz="4" w:space="0" w:color="auto"/>
            </w:tcBorders>
            <w:vAlign w:val="center"/>
          </w:tcPr>
          <w:p w14:paraId="349AB360" w14:textId="208F3F7C" w:rsidR="0083039B" w:rsidRPr="00063305" w:rsidRDefault="0083039B" w:rsidP="0083039B">
            <w:pPr>
              <w:pStyle w:val="Budgettext"/>
              <w:rPr>
                <w:b w:val="0"/>
              </w:rPr>
            </w:pPr>
            <w:r w:rsidRPr="00063305">
              <w:rPr>
                <w:b w:val="0"/>
              </w:rPr>
              <w:t>Estimated Additional Living Expenses</w:t>
            </w:r>
          </w:p>
        </w:tc>
        <w:tc>
          <w:tcPr>
            <w:tcW w:w="2017" w:type="dxa"/>
            <w:tcBorders>
              <w:bottom w:val="single" w:sz="4" w:space="0" w:color="auto"/>
            </w:tcBorders>
            <w:vAlign w:val="center"/>
          </w:tcPr>
          <w:p w14:paraId="2DE04BF5" w14:textId="4679F5C5" w:rsidR="0083039B" w:rsidRPr="00063305" w:rsidRDefault="0083039B" w:rsidP="00006304">
            <w:pPr>
              <w:pStyle w:val="Budge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w:t>
            </w:r>
            <w:r w:rsidR="00006304">
              <w:rPr>
                <w:rFonts w:eastAsia="Times New Roman"/>
              </w:rPr>
              <w:t>1</w:t>
            </w:r>
            <w:r w:rsidR="00671076">
              <w:rPr>
                <w:rFonts w:eastAsia="Times New Roman"/>
              </w:rPr>
              <w:t>,</w:t>
            </w:r>
            <w:r w:rsidR="00006304">
              <w:rPr>
                <w:rFonts w:eastAsia="Times New Roman"/>
              </w:rPr>
              <w:t>500</w:t>
            </w:r>
          </w:p>
        </w:tc>
      </w:tr>
      <w:tr w:rsidR="0083039B" w:rsidRPr="00063305" w14:paraId="2326C2B1" w14:textId="77777777" w:rsidTr="00691FB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447" w:type="dxa"/>
            <w:tcBorders>
              <w:top w:val="single" w:sz="4" w:space="0" w:color="auto"/>
              <w:bottom w:val="nil"/>
            </w:tcBorders>
            <w:vAlign w:val="center"/>
          </w:tcPr>
          <w:p w14:paraId="67B25287" w14:textId="4E4A9F87" w:rsidR="0083039B" w:rsidRPr="00063305" w:rsidRDefault="0083039B" w:rsidP="0083039B">
            <w:pPr>
              <w:pStyle w:val="Budgettext"/>
              <w:rPr>
                <w:b w:val="0"/>
              </w:rPr>
            </w:pPr>
            <w:r>
              <w:rPr>
                <w:b w:val="0"/>
              </w:rPr>
              <w:t>PROVIDER PROGRAM FEES &amp; EST.</w:t>
            </w:r>
            <w:r w:rsidRPr="00063305">
              <w:rPr>
                <w:b w:val="0"/>
              </w:rPr>
              <w:t xml:space="preserve"> ADDITIONAL EXPENSES TOTAL </w:t>
            </w:r>
          </w:p>
        </w:tc>
        <w:tc>
          <w:tcPr>
            <w:tcW w:w="2017" w:type="dxa"/>
            <w:tcBorders>
              <w:top w:val="single" w:sz="4" w:space="0" w:color="auto"/>
              <w:bottom w:val="nil"/>
            </w:tcBorders>
            <w:vAlign w:val="center"/>
          </w:tcPr>
          <w:p w14:paraId="3F14FC7B" w14:textId="7F3E3DC2" w:rsidR="0083039B" w:rsidRPr="00063305" w:rsidRDefault="0083039B" w:rsidP="00006304">
            <w:pPr>
              <w:pStyle w:val="Budgettex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sidR="00F55EF1">
              <w:rPr>
                <w:rFonts w:eastAsia="Times New Roman"/>
              </w:rPr>
              <w:t>6</w:t>
            </w:r>
            <w:r w:rsidR="000378FA">
              <w:rPr>
                <w:rFonts w:eastAsia="Times New Roman"/>
              </w:rPr>
              <w:t>,2</w:t>
            </w:r>
            <w:r w:rsidR="00F55EF1">
              <w:rPr>
                <w:rFonts w:eastAsia="Times New Roman"/>
              </w:rPr>
              <w:t>50</w:t>
            </w:r>
          </w:p>
        </w:tc>
      </w:tr>
    </w:tbl>
    <w:p w14:paraId="1F48CD82" w14:textId="4700C3CD" w:rsidR="00D6074F" w:rsidRDefault="00D6074F" w:rsidP="0093239B">
      <w:pPr>
        <w:pStyle w:val="Budgettext"/>
        <w:rPr>
          <w:i/>
        </w:rPr>
      </w:pPr>
    </w:p>
    <w:p w14:paraId="03646592" w14:textId="77777777" w:rsidR="00D6074F" w:rsidRPr="00063305" w:rsidRDefault="00D6074F" w:rsidP="0093239B">
      <w:pPr>
        <w:pStyle w:val="Budgettext"/>
        <w:rPr>
          <w:i/>
        </w:rPr>
      </w:pPr>
    </w:p>
    <w:tbl>
      <w:tblPr>
        <w:tblStyle w:val="TableGrid"/>
        <w:tblW w:w="9551" w:type="dxa"/>
        <w:tblLook w:val="04A0" w:firstRow="1" w:lastRow="0" w:firstColumn="1" w:lastColumn="0" w:noHBand="0" w:noVBand="1"/>
      </w:tblPr>
      <w:tblGrid>
        <w:gridCol w:w="5971"/>
        <w:gridCol w:w="3580"/>
      </w:tblGrid>
      <w:tr w:rsidR="00411974" w:rsidRPr="00063305" w14:paraId="3A66B3E6" w14:textId="77777777" w:rsidTr="00691FB1">
        <w:trPr>
          <w:trHeight w:val="890"/>
        </w:trPr>
        <w:tc>
          <w:tcPr>
            <w:tcW w:w="5971" w:type="dxa"/>
            <w:vAlign w:val="center"/>
          </w:tcPr>
          <w:p w14:paraId="0C92619C" w14:textId="77777777" w:rsidR="00411974" w:rsidRPr="00D6074F" w:rsidRDefault="00411974" w:rsidP="00171D46">
            <w:pPr>
              <w:pStyle w:val="Budgettext"/>
              <w:rPr>
                <w:b/>
                <w:color w:val="124734"/>
              </w:rPr>
            </w:pPr>
            <w:r w:rsidRPr="00D6074F">
              <w:rPr>
                <w:b/>
                <w:color w:val="124734"/>
              </w:rPr>
              <w:t>TOTAL ESTIMATED COST OF PARTICIPATION</w:t>
            </w:r>
          </w:p>
          <w:p w14:paraId="6AB89654" w14:textId="03261295" w:rsidR="00411974" w:rsidRPr="00063305" w:rsidRDefault="00411974" w:rsidP="00171D46">
            <w:pPr>
              <w:pStyle w:val="Budgettext"/>
              <w:rPr>
                <w:i/>
              </w:rPr>
            </w:pPr>
            <w:r w:rsidRPr="00063305">
              <w:rPr>
                <w:i/>
              </w:rPr>
              <w:t xml:space="preserve">(Program </w:t>
            </w:r>
            <w:r w:rsidR="0063654D">
              <w:rPr>
                <w:i/>
              </w:rPr>
              <w:t>fees</w:t>
            </w:r>
            <w:r w:rsidRPr="00063305">
              <w:rPr>
                <w:i/>
              </w:rPr>
              <w:t xml:space="preserve"> + estimated additional expenses)</w:t>
            </w:r>
          </w:p>
        </w:tc>
        <w:tc>
          <w:tcPr>
            <w:tcW w:w="3580" w:type="dxa"/>
            <w:vAlign w:val="center"/>
          </w:tcPr>
          <w:p w14:paraId="466C0E20" w14:textId="2DC34685" w:rsidR="00411974" w:rsidRPr="00D6074F" w:rsidRDefault="00411974" w:rsidP="00347048">
            <w:pPr>
              <w:pStyle w:val="Budgettext"/>
              <w:jc w:val="center"/>
            </w:pPr>
            <w:r w:rsidRPr="00D6074F">
              <w:t>$</w:t>
            </w:r>
            <w:r w:rsidR="0098094C">
              <w:t>3</w:t>
            </w:r>
            <w:r w:rsidR="000378FA">
              <w:t>6</w:t>
            </w:r>
            <w:r w:rsidR="00671076" w:rsidRPr="00D6074F">
              <w:t>,</w:t>
            </w:r>
            <w:r w:rsidR="000378FA">
              <w:t>580</w:t>
            </w:r>
          </w:p>
        </w:tc>
      </w:tr>
    </w:tbl>
    <w:p w14:paraId="314000D9" w14:textId="77777777" w:rsidR="00324E92" w:rsidRDefault="00324E92" w:rsidP="0093239B">
      <w:pPr>
        <w:pStyle w:val="Budgettext"/>
        <w:rPr>
          <w:b/>
          <w:color w:val="124734"/>
        </w:rPr>
      </w:pPr>
    </w:p>
    <w:p w14:paraId="7F9D9BF1" w14:textId="601B43CE" w:rsidR="00C0641F" w:rsidRPr="00C618E5" w:rsidRDefault="00C0641F" w:rsidP="00C0641F">
      <w:pPr>
        <w:rPr>
          <w:rFonts w:ascii="Helvetica" w:hAnsi="Helvetica"/>
          <w:b/>
          <w:i/>
          <w:iCs/>
          <w:color w:val="124734"/>
          <w:sz w:val="17"/>
          <w:szCs w:val="17"/>
        </w:rPr>
      </w:pPr>
      <w:r>
        <w:rPr>
          <w:rFonts w:ascii="Helvetica" w:hAnsi="Helvetica"/>
          <w:b/>
          <w:i/>
          <w:iCs/>
          <w:color w:val="124734"/>
          <w:sz w:val="17"/>
          <w:szCs w:val="17"/>
        </w:rPr>
        <w:br/>
      </w:r>
      <w:r w:rsidRPr="00C618E5">
        <w:rPr>
          <w:rFonts w:ascii="Helvetica" w:hAnsi="Helvetica"/>
          <w:b/>
          <w:i/>
          <w:iCs/>
          <w:color w:val="124734"/>
          <w:sz w:val="17"/>
          <w:szCs w:val="17"/>
        </w:rPr>
        <w:t xml:space="preserve">This budget assumes that the current global situation will improve enough to run this program safely as it was originally designed. All program details, including cost, will be updated if global or location-specific conditions require modifications to program structure (for example, limitations on in-country travel or the requirement of single-occupancy accommodation). GEO continues to closely monitor the conditions for each program to ensure </w:t>
      </w:r>
      <w:r w:rsidRPr="00C618E5">
        <w:rPr>
          <w:rFonts w:ascii="Helvetica" w:hAnsi="Helvetica"/>
          <w:b/>
          <w:i/>
          <w:iCs/>
          <w:color w:val="124734"/>
          <w:sz w:val="17"/>
          <w:szCs w:val="17"/>
        </w:rPr>
        <w:lastRenderedPageBreak/>
        <w:t>that they meet the safety and travel requirements of the University of Oregon, the host country, and the local institutions with which we work.</w:t>
      </w:r>
    </w:p>
    <w:p w14:paraId="550E4F50" w14:textId="77777777" w:rsidR="006603A3" w:rsidRDefault="006603A3" w:rsidP="00355BB5">
      <w:pPr>
        <w:pStyle w:val="Budgettext"/>
        <w:rPr>
          <w:b/>
          <w:color w:val="124734"/>
        </w:rPr>
      </w:pPr>
    </w:p>
    <w:p w14:paraId="2CB56134" w14:textId="46EEDFD8" w:rsidR="00355BB5" w:rsidRDefault="00355BB5" w:rsidP="00355BB5">
      <w:pPr>
        <w:pStyle w:val="Budgettext"/>
        <w:rPr>
          <w:b/>
          <w:color w:val="124734"/>
        </w:rPr>
      </w:pPr>
      <w:r w:rsidRPr="008231F8">
        <w:rPr>
          <w:b/>
          <w:color w:val="124734"/>
        </w:rPr>
        <w:t>CANCELLATION AND REFUND POLICY INFORMATION:</w:t>
      </w:r>
    </w:p>
    <w:p w14:paraId="455ED96A" w14:textId="77777777" w:rsidR="00355BB5" w:rsidRDefault="00355BB5" w:rsidP="00355BB5">
      <w:pPr>
        <w:rPr>
          <w:rFonts w:ascii="Helvetica" w:hAnsi="Helvetica"/>
          <w:b/>
          <w:color w:val="124734"/>
          <w:sz w:val="22"/>
          <w:szCs w:val="22"/>
        </w:rPr>
      </w:pPr>
    </w:p>
    <w:p w14:paraId="62C782F5" w14:textId="77777777" w:rsidR="00355BB5" w:rsidRDefault="00355BB5" w:rsidP="00355BB5">
      <w:pPr>
        <w:rPr>
          <w:rFonts w:ascii="Helvetica" w:hAnsi="Helvetica"/>
          <w:sz w:val="22"/>
          <w:szCs w:val="22"/>
        </w:rPr>
      </w:pPr>
      <w:r w:rsidRPr="00F1572A">
        <w:rPr>
          <w:rFonts w:ascii="Helvetica" w:hAnsi="Helvetica"/>
          <w:i/>
          <w:iCs/>
          <w:sz w:val="22"/>
          <w:szCs w:val="22"/>
        </w:rPr>
        <w:t>Important:</w:t>
      </w:r>
      <w:r w:rsidRPr="00F1572A">
        <w:rPr>
          <w:rFonts w:ascii="Helvetica" w:hAnsi="Helvetica"/>
          <w:sz w:val="22"/>
          <w:szCs w:val="22"/>
        </w:rPr>
        <w:t xml:space="preserve"> The GEO Cancellation and Deferral Policy is effective from the time a student agrees to pay their non-refundable program deposit or electronically signs the program commitment form, regardless of application or acceptance status. It is essential to read this policy before a potential cancellation or deferral takes place, to fully understand the withdrawal and cancellation penalties and understand what it means financially to commit to a study abroad program. </w:t>
      </w:r>
    </w:p>
    <w:p w14:paraId="1AF7EDD6" w14:textId="77777777" w:rsidR="00355BB5" w:rsidRDefault="00355BB5" w:rsidP="00355BB5">
      <w:pPr>
        <w:rPr>
          <w:rFonts w:ascii="Helvetica" w:hAnsi="Helvetica"/>
          <w:sz w:val="22"/>
          <w:szCs w:val="22"/>
        </w:rPr>
      </w:pPr>
    </w:p>
    <w:p w14:paraId="346BF5BF" w14:textId="77777777" w:rsidR="00355BB5" w:rsidRPr="00F1572A" w:rsidRDefault="00355BB5" w:rsidP="00355BB5">
      <w:pPr>
        <w:rPr>
          <w:rFonts w:ascii="Helvetica" w:hAnsi="Helvetica"/>
          <w:b/>
          <w:bCs/>
          <w:u w:val="single"/>
        </w:rPr>
      </w:pPr>
      <w:r w:rsidRPr="00F1572A">
        <w:rPr>
          <w:rFonts w:ascii="Helvetica" w:hAnsi="Helvetica"/>
          <w:b/>
          <w:bCs/>
          <w:u w:val="single"/>
        </w:rPr>
        <w:t>Cancellation/Deferral Penalty Dates:</w:t>
      </w:r>
      <w:r>
        <w:rPr>
          <w:rFonts w:ascii="Helvetica" w:hAnsi="Helvetica"/>
          <w:b/>
          <w:bCs/>
          <w:u w:val="single"/>
        </w:rPr>
        <w:br/>
      </w:r>
    </w:p>
    <w:tbl>
      <w:tblPr>
        <w:tblStyle w:val="TableGrid"/>
        <w:tblW w:w="9180" w:type="dxa"/>
        <w:tblLook w:val="04A0" w:firstRow="1" w:lastRow="0" w:firstColumn="1" w:lastColumn="0" w:noHBand="0" w:noVBand="1"/>
      </w:tblPr>
      <w:tblGrid>
        <w:gridCol w:w="4047"/>
        <w:gridCol w:w="5133"/>
      </w:tblGrid>
      <w:tr w:rsidR="00355BB5" w:rsidRPr="006166C1" w14:paraId="75A6B25C" w14:textId="77777777" w:rsidTr="0038162C">
        <w:trPr>
          <w:trHeight w:val="719"/>
        </w:trPr>
        <w:tc>
          <w:tcPr>
            <w:tcW w:w="4047" w:type="dxa"/>
            <w:shd w:val="clear" w:color="auto" w:fill="EAF1DD" w:themeFill="accent3" w:themeFillTint="33"/>
            <w:vAlign w:val="center"/>
            <w:hideMark/>
          </w:tcPr>
          <w:p w14:paraId="2CBF7369" w14:textId="77777777" w:rsidR="00355BB5" w:rsidRPr="006166C1" w:rsidRDefault="00355BB5" w:rsidP="0038162C">
            <w:pPr>
              <w:pStyle w:val="Budgettext"/>
              <w:rPr>
                <w:b/>
              </w:rPr>
            </w:pPr>
            <w:r w:rsidRPr="006166C1">
              <w:rPr>
                <w:b/>
              </w:rPr>
              <w:t>CANCELLATION/DEFERRAL DATE</w:t>
            </w:r>
          </w:p>
        </w:tc>
        <w:tc>
          <w:tcPr>
            <w:tcW w:w="5133" w:type="dxa"/>
            <w:shd w:val="clear" w:color="auto" w:fill="EAF1DD" w:themeFill="accent3" w:themeFillTint="33"/>
            <w:vAlign w:val="center"/>
            <w:hideMark/>
          </w:tcPr>
          <w:p w14:paraId="47BB4083" w14:textId="77777777" w:rsidR="00355BB5" w:rsidRPr="006166C1" w:rsidRDefault="00355BB5" w:rsidP="0038162C">
            <w:pPr>
              <w:pStyle w:val="Budgettext"/>
              <w:rPr>
                <w:b/>
              </w:rPr>
            </w:pPr>
            <w:r w:rsidRPr="006166C1">
              <w:rPr>
                <w:b/>
              </w:rPr>
              <w:t>PENALTY IF NOTICE RECEIVED</w:t>
            </w:r>
            <w:r w:rsidRPr="006166C1">
              <w:rPr>
                <w:b/>
              </w:rPr>
              <w:br/>
              <w:t>AFTER THIS DATE</w:t>
            </w:r>
          </w:p>
        </w:tc>
      </w:tr>
      <w:tr w:rsidR="00355BB5" w:rsidRPr="00063305" w14:paraId="7977CC15" w14:textId="77777777" w:rsidTr="0038162C">
        <w:trPr>
          <w:trHeight w:val="710"/>
        </w:trPr>
        <w:tc>
          <w:tcPr>
            <w:tcW w:w="4047" w:type="dxa"/>
            <w:vAlign w:val="center"/>
            <w:hideMark/>
          </w:tcPr>
          <w:p w14:paraId="17156C49" w14:textId="77777777" w:rsidR="00355BB5" w:rsidRPr="00655968" w:rsidRDefault="00355BB5" w:rsidP="0038162C">
            <w:pPr>
              <w:pStyle w:val="Budgettext"/>
            </w:pPr>
            <w:r>
              <w:t>Upon acceptance to program</w:t>
            </w:r>
          </w:p>
        </w:tc>
        <w:tc>
          <w:tcPr>
            <w:tcW w:w="5133" w:type="dxa"/>
            <w:vAlign w:val="center"/>
            <w:hideMark/>
          </w:tcPr>
          <w:p w14:paraId="2BE7DF8C" w14:textId="77777777" w:rsidR="00355BB5" w:rsidRPr="00655968" w:rsidRDefault="00355BB5" w:rsidP="0038162C">
            <w:pPr>
              <w:pStyle w:val="Budgettext"/>
            </w:pPr>
            <w:r>
              <w:t xml:space="preserve">Student agrees to </w:t>
            </w:r>
            <w:r w:rsidRPr="00655968">
              <w:t xml:space="preserve">$500 </w:t>
            </w:r>
            <w:r>
              <w:t xml:space="preserve">non-refundable </w:t>
            </w:r>
            <w:r w:rsidRPr="00655968">
              <w:t>program deposit</w:t>
            </w:r>
          </w:p>
        </w:tc>
      </w:tr>
      <w:tr w:rsidR="00355BB5" w:rsidRPr="00063305" w14:paraId="035F9A8B" w14:textId="77777777" w:rsidTr="0038162C">
        <w:trPr>
          <w:trHeight w:val="710"/>
        </w:trPr>
        <w:tc>
          <w:tcPr>
            <w:tcW w:w="4047" w:type="dxa"/>
            <w:vAlign w:val="center"/>
          </w:tcPr>
          <w:p w14:paraId="03DD33C0" w14:textId="77777777" w:rsidR="00355BB5" w:rsidRPr="4A9C830B" w:rsidRDefault="00355BB5" w:rsidP="0038162C">
            <w:pPr>
              <w:pStyle w:val="Budgettext"/>
            </w:pPr>
            <w:r>
              <w:t>6 weeks before program start date</w:t>
            </w:r>
          </w:p>
        </w:tc>
        <w:tc>
          <w:tcPr>
            <w:tcW w:w="5133" w:type="dxa"/>
            <w:vAlign w:val="center"/>
          </w:tcPr>
          <w:p w14:paraId="5816F270" w14:textId="77777777" w:rsidR="00355BB5" w:rsidRDefault="00355BB5" w:rsidP="0038162C">
            <w:pPr>
              <w:pStyle w:val="Budgettext"/>
            </w:pPr>
            <w:r>
              <w:t>Student is responsible for 50% of total GEO program fees</w:t>
            </w:r>
          </w:p>
        </w:tc>
      </w:tr>
      <w:tr w:rsidR="00355BB5" w:rsidRPr="00063305" w14:paraId="1CD80828" w14:textId="77777777" w:rsidTr="0038162C">
        <w:trPr>
          <w:trHeight w:val="710"/>
        </w:trPr>
        <w:tc>
          <w:tcPr>
            <w:tcW w:w="4047" w:type="dxa"/>
            <w:vAlign w:val="center"/>
            <w:hideMark/>
          </w:tcPr>
          <w:p w14:paraId="05B87089" w14:textId="77777777" w:rsidR="00355BB5" w:rsidRPr="00655968" w:rsidRDefault="00355BB5" w:rsidP="0038162C">
            <w:pPr>
              <w:pStyle w:val="Budgettext"/>
            </w:pPr>
            <w:r>
              <w:t xml:space="preserve">On or after Arrival Day </w:t>
            </w:r>
          </w:p>
        </w:tc>
        <w:tc>
          <w:tcPr>
            <w:tcW w:w="5133" w:type="dxa"/>
            <w:vAlign w:val="center"/>
            <w:hideMark/>
          </w:tcPr>
          <w:p w14:paraId="0FC1E76D" w14:textId="77777777" w:rsidR="00355BB5" w:rsidRPr="00655968" w:rsidRDefault="00355BB5" w:rsidP="0038162C">
            <w:pPr>
              <w:pStyle w:val="Budgettext"/>
            </w:pPr>
            <w:r>
              <w:t>Student is responsible for 100</w:t>
            </w:r>
            <w:r w:rsidRPr="00655968">
              <w:t xml:space="preserve">% of total GEO </w:t>
            </w:r>
            <w:r>
              <w:t xml:space="preserve">program </w:t>
            </w:r>
            <w:r w:rsidRPr="00655968">
              <w:t xml:space="preserve">fees </w:t>
            </w:r>
          </w:p>
        </w:tc>
      </w:tr>
    </w:tbl>
    <w:p w14:paraId="26BDABEB" w14:textId="77777777" w:rsidR="00355BB5" w:rsidRPr="00BA585F" w:rsidRDefault="00355BB5" w:rsidP="00355BB5">
      <w:pPr>
        <w:shd w:val="clear" w:color="auto" w:fill="FFFFFF"/>
        <w:contextualSpacing/>
        <w:rPr>
          <w:rFonts w:ascii="Helvetica" w:hAnsi="Helvetica" w:cs="Helvetica"/>
          <w:b/>
          <w:bCs/>
          <w:color w:val="333333"/>
          <w:sz w:val="28"/>
          <w:szCs w:val="28"/>
        </w:rPr>
      </w:pPr>
    </w:p>
    <w:p w14:paraId="5579117D" w14:textId="77777777" w:rsidR="00355BB5" w:rsidRDefault="00355BB5" w:rsidP="00355BB5">
      <w:pPr>
        <w:shd w:val="clear" w:color="auto" w:fill="FFFFFF"/>
        <w:contextualSpacing/>
        <w:rPr>
          <w:rFonts w:ascii="Helvetica" w:hAnsi="Helvetica" w:cs="Helvetica"/>
          <w:b/>
          <w:bCs/>
          <w:color w:val="333333"/>
          <w:sz w:val="22"/>
          <w:szCs w:val="22"/>
        </w:rPr>
      </w:pPr>
      <w:r>
        <w:rPr>
          <w:rFonts w:ascii="Helvetica" w:hAnsi="Helvetica" w:cs="Helvetica"/>
          <w:b/>
          <w:bCs/>
          <w:color w:val="333333"/>
          <w:sz w:val="22"/>
          <w:szCs w:val="22"/>
        </w:rPr>
        <w:t xml:space="preserve">Please note that DIS’s cancellation and deferral policy may differ from GEO’s policy. Visit </w:t>
      </w:r>
      <w:hyperlink r:id="rId9" w:history="1">
        <w:r w:rsidRPr="00436C88">
          <w:rPr>
            <w:rStyle w:val="Hyperlink"/>
            <w:rFonts w:ascii="Helvetica" w:hAnsi="Helvetica" w:cs="Helvetica"/>
            <w:b/>
            <w:bCs/>
            <w:sz w:val="22"/>
            <w:szCs w:val="22"/>
          </w:rPr>
          <w:t>DIS’s website</w:t>
        </w:r>
      </w:hyperlink>
      <w:r>
        <w:rPr>
          <w:rFonts w:ascii="Helvetica" w:hAnsi="Helvetica" w:cs="Helvetica"/>
          <w:b/>
          <w:bCs/>
          <w:color w:val="333333"/>
          <w:sz w:val="22"/>
          <w:szCs w:val="22"/>
        </w:rPr>
        <w:t xml:space="preserve"> for their cancellation policies and payment policies.</w:t>
      </w:r>
    </w:p>
    <w:p w14:paraId="20A0CE51" w14:textId="77777777" w:rsidR="00355BB5" w:rsidRDefault="00355BB5" w:rsidP="00355BB5">
      <w:pPr>
        <w:shd w:val="clear" w:color="auto" w:fill="FFFFFF"/>
        <w:contextualSpacing/>
        <w:rPr>
          <w:rFonts w:ascii="Helvetica" w:hAnsi="Helvetica" w:cs="Helvetica"/>
          <w:b/>
          <w:bCs/>
          <w:color w:val="333333"/>
          <w:sz w:val="22"/>
          <w:szCs w:val="22"/>
        </w:rPr>
      </w:pPr>
    </w:p>
    <w:p w14:paraId="5417AE19" w14:textId="77777777" w:rsidR="00355BB5" w:rsidRDefault="00355BB5" w:rsidP="00355BB5">
      <w:pPr>
        <w:shd w:val="clear" w:color="auto" w:fill="FFFFFF"/>
        <w:contextualSpacing/>
        <w:rPr>
          <w:rFonts w:ascii="Helvetica" w:hAnsi="Helvetica" w:cs="Helvetica"/>
          <w:sz w:val="22"/>
          <w:szCs w:val="22"/>
        </w:rPr>
      </w:pPr>
      <w:r w:rsidRPr="00B15B4C">
        <w:rPr>
          <w:rFonts w:ascii="Helvetica" w:hAnsi="Helvetica" w:cs="Helvetica"/>
          <w:b/>
          <w:bCs/>
          <w:color w:val="333333"/>
          <w:sz w:val="22"/>
          <w:szCs w:val="22"/>
        </w:rPr>
        <w:t xml:space="preserve">Cancellation/Deferral Process: Students who cancel or defer their participation must notify both GEO and </w:t>
      </w:r>
      <w:r>
        <w:rPr>
          <w:rFonts w:ascii="Helvetica" w:hAnsi="Helvetica" w:cs="Helvetica"/>
          <w:b/>
          <w:bCs/>
          <w:color w:val="333333"/>
          <w:sz w:val="22"/>
          <w:szCs w:val="22"/>
        </w:rPr>
        <w:t>DIS</w:t>
      </w:r>
      <w:r w:rsidRPr="00B15B4C">
        <w:rPr>
          <w:rFonts w:ascii="Helvetica" w:hAnsi="Helvetica" w:cs="Helvetica"/>
          <w:b/>
          <w:bCs/>
          <w:color w:val="333333"/>
          <w:sz w:val="22"/>
          <w:szCs w:val="22"/>
        </w:rPr>
        <w:t xml:space="preserve"> in writing</w:t>
      </w:r>
      <w:r w:rsidRPr="00C07624">
        <w:rPr>
          <w:rFonts w:ascii="Helvetica" w:hAnsi="Helvetica" w:cs="Helvetica"/>
          <w:color w:val="333333"/>
          <w:sz w:val="22"/>
          <w:szCs w:val="22"/>
        </w:rPr>
        <w:t>.  Fax (GEO: 541-346-1232) or email is acceptab</w:t>
      </w:r>
      <w:r w:rsidRPr="00C07624">
        <w:rPr>
          <w:rFonts w:ascii="Helvetica" w:hAnsi="Helvetica" w:cs="Helvetica"/>
          <w:sz w:val="22"/>
          <w:szCs w:val="22"/>
        </w:rPr>
        <w:t xml:space="preserve">le (GEO: geoinfo@uoregon.edu). Verbal notification to GEO or notification given to a non-UO campus study abroad office is not sufficient. </w:t>
      </w:r>
    </w:p>
    <w:p w14:paraId="2B7EE986" w14:textId="77777777" w:rsidR="00355BB5" w:rsidRDefault="00355BB5" w:rsidP="00355BB5">
      <w:pPr>
        <w:shd w:val="clear" w:color="auto" w:fill="FFFFFF"/>
        <w:contextualSpacing/>
        <w:rPr>
          <w:rFonts w:ascii="Helvetica" w:hAnsi="Helvetica" w:cs="Helvetica"/>
          <w:sz w:val="22"/>
          <w:szCs w:val="22"/>
        </w:rPr>
      </w:pPr>
    </w:p>
    <w:p w14:paraId="3ED1777F" w14:textId="77777777" w:rsidR="00355BB5" w:rsidRPr="00B15B4C" w:rsidRDefault="00355BB5" w:rsidP="00355BB5">
      <w:pPr>
        <w:pStyle w:val="ListParagraph"/>
        <w:numPr>
          <w:ilvl w:val="0"/>
          <w:numId w:val="12"/>
        </w:numPr>
        <w:shd w:val="clear" w:color="auto" w:fill="FFFFFF"/>
        <w:ind w:left="360"/>
        <w:rPr>
          <w:rFonts w:ascii="Helvetica" w:hAnsi="Helvetica" w:cs="Helvetica"/>
          <w:sz w:val="22"/>
          <w:szCs w:val="22"/>
        </w:rPr>
      </w:pPr>
      <w:r w:rsidRPr="00B15B4C">
        <w:rPr>
          <w:rFonts w:ascii="Helvetica" w:hAnsi="Helvetica" w:cs="Helvetica"/>
          <w:sz w:val="22"/>
          <w:szCs w:val="22"/>
        </w:rPr>
        <w:t>If one of the deadlines in the Student Budget posted on the program page of the GEO website falls on a weekend or holiday, GEO will accept written notifications received on the following business day. </w:t>
      </w:r>
    </w:p>
    <w:p w14:paraId="04E2175C" w14:textId="77777777" w:rsidR="00355BB5" w:rsidRPr="00B15B4C" w:rsidRDefault="00355BB5" w:rsidP="00355BB5">
      <w:pPr>
        <w:pStyle w:val="ListParagraph"/>
        <w:shd w:val="clear" w:color="auto" w:fill="FFFFFF"/>
        <w:ind w:left="450" w:hanging="450"/>
        <w:rPr>
          <w:rFonts w:ascii="Helvetica" w:hAnsi="Helvetica" w:cs="Helvetica"/>
          <w:sz w:val="22"/>
          <w:szCs w:val="22"/>
        </w:rPr>
      </w:pPr>
    </w:p>
    <w:p w14:paraId="70A6DE30" w14:textId="77777777" w:rsidR="00355BB5" w:rsidRPr="00B15B4C" w:rsidRDefault="00355BB5" w:rsidP="00355BB5">
      <w:pPr>
        <w:pStyle w:val="ListParagraph"/>
        <w:numPr>
          <w:ilvl w:val="0"/>
          <w:numId w:val="10"/>
        </w:numPr>
        <w:shd w:val="clear" w:color="auto" w:fill="FFFFFF"/>
        <w:ind w:left="360"/>
        <w:rPr>
          <w:rFonts w:ascii="Helvetica" w:hAnsi="Helvetica" w:cs="Helvetica"/>
          <w:sz w:val="22"/>
          <w:szCs w:val="22"/>
        </w:rPr>
      </w:pPr>
      <w:r w:rsidRPr="00B15B4C">
        <w:rPr>
          <w:rFonts w:ascii="Helvetica" w:hAnsi="Helvetica" w:cs="Helvetica"/>
          <w:sz w:val="22"/>
          <w:szCs w:val="22"/>
        </w:rPr>
        <w:t>A student can defer their application for up to twelve months from the term in which their original program was scheduled to start, and upon approval by the GEO advisor. Beyond twelve months, a student must cancel their application and re-apply. In some cases, a student may be able to apply their non-refundable application fee and deposit to a future GEO program upon GEO approval.</w:t>
      </w:r>
    </w:p>
    <w:p w14:paraId="4CA6D95D" w14:textId="77777777" w:rsidR="00355BB5" w:rsidRPr="00B15B4C" w:rsidRDefault="00355BB5" w:rsidP="00355BB5">
      <w:pPr>
        <w:shd w:val="clear" w:color="auto" w:fill="FFFFFF"/>
        <w:contextualSpacing/>
        <w:rPr>
          <w:rFonts w:ascii="Helvetica" w:hAnsi="Helvetica" w:cs="Helvetica"/>
          <w:sz w:val="22"/>
          <w:szCs w:val="22"/>
        </w:rPr>
      </w:pPr>
    </w:p>
    <w:p w14:paraId="37ED9D6D" w14:textId="77777777" w:rsidR="00355BB5" w:rsidRPr="00B15B4C" w:rsidRDefault="00355BB5" w:rsidP="00355BB5">
      <w:pPr>
        <w:shd w:val="clear" w:color="auto" w:fill="FFFFFF"/>
        <w:contextualSpacing/>
        <w:rPr>
          <w:rFonts w:ascii="Helvetica" w:hAnsi="Helvetica" w:cs="Helvetica"/>
          <w:sz w:val="22"/>
          <w:szCs w:val="22"/>
        </w:rPr>
      </w:pPr>
      <w:r w:rsidRPr="00B15B4C">
        <w:rPr>
          <w:rFonts w:ascii="Helvetica" w:hAnsi="Helvetica" w:cs="Helvetica"/>
          <w:b/>
          <w:bCs/>
          <w:sz w:val="22"/>
          <w:szCs w:val="22"/>
          <w:u w:val="single"/>
        </w:rPr>
        <w:t>Cancellation/Deferral Policy and Penalty</w:t>
      </w:r>
      <w:r w:rsidRPr="00B15B4C">
        <w:rPr>
          <w:rFonts w:ascii="Helvetica" w:hAnsi="Helvetica" w:cs="Helvetica"/>
          <w:sz w:val="22"/>
          <w:szCs w:val="22"/>
        </w:rPr>
        <w:t xml:space="preserve">: </w:t>
      </w:r>
    </w:p>
    <w:p w14:paraId="31BD33DE" w14:textId="77777777" w:rsidR="00355BB5" w:rsidRPr="00B15B4C" w:rsidRDefault="00355BB5" w:rsidP="00355BB5">
      <w:pPr>
        <w:shd w:val="clear" w:color="auto" w:fill="FFFFFF"/>
        <w:contextualSpacing/>
        <w:rPr>
          <w:rFonts w:ascii="Helvetica" w:hAnsi="Helvetica" w:cs="Helvetica"/>
          <w:sz w:val="22"/>
          <w:szCs w:val="22"/>
        </w:rPr>
      </w:pPr>
    </w:p>
    <w:p w14:paraId="427B9A40" w14:textId="77777777" w:rsidR="00355BB5" w:rsidRPr="00B15B4C" w:rsidRDefault="00355BB5" w:rsidP="00355BB5">
      <w:pPr>
        <w:pStyle w:val="ListParagraph"/>
        <w:numPr>
          <w:ilvl w:val="0"/>
          <w:numId w:val="11"/>
        </w:numPr>
        <w:shd w:val="clear" w:color="auto" w:fill="FFFFFF"/>
        <w:ind w:left="360"/>
        <w:rPr>
          <w:rFonts w:ascii="Helvetica" w:hAnsi="Helvetica" w:cs="Helvetica"/>
          <w:sz w:val="22"/>
          <w:szCs w:val="22"/>
        </w:rPr>
      </w:pPr>
      <w:r w:rsidRPr="00B15B4C">
        <w:rPr>
          <w:rFonts w:ascii="Helvetica" w:hAnsi="Helvetica" w:cs="Helvetica"/>
          <w:sz w:val="22"/>
          <w:szCs w:val="22"/>
        </w:rPr>
        <w:t>This cancellation and deferral policy applies to all cancellations and deferrals regardless of the reason for cancellation or deferral, including but not limited to inability to secure proper legal status (i.e. passport, visa, etc.) in the host country of the participating program.</w:t>
      </w:r>
    </w:p>
    <w:p w14:paraId="1AD9517C" w14:textId="77777777" w:rsidR="00355BB5" w:rsidRPr="00B15B4C" w:rsidRDefault="00355BB5" w:rsidP="00355BB5">
      <w:pPr>
        <w:shd w:val="clear" w:color="auto" w:fill="FFFFFF"/>
        <w:contextualSpacing/>
        <w:rPr>
          <w:rFonts w:ascii="Helvetica" w:hAnsi="Helvetica" w:cs="Helvetica"/>
          <w:sz w:val="22"/>
          <w:szCs w:val="22"/>
        </w:rPr>
      </w:pPr>
    </w:p>
    <w:p w14:paraId="1E17B96C" w14:textId="77777777" w:rsidR="00355BB5" w:rsidRPr="00436C88" w:rsidRDefault="00355BB5" w:rsidP="00355BB5">
      <w:pPr>
        <w:pStyle w:val="ListParagraph"/>
        <w:numPr>
          <w:ilvl w:val="0"/>
          <w:numId w:val="11"/>
        </w:numPr>
        <w:shd w:val="clear" w:color="auto" w:fill="FFFFFF" w:themeFill="background1"/>
        <w:ind w:left="360"/>
        <w:rPr>
          <w:rFonts w:ascii="Helvetica" w:hAnsi="Helvetica" w:cs="Helvetica"/>
          <w:sz w:val="22"/>
          <w:szCs w:val="22"/>
        </w:rPr>
      </w:pPr>
      <w:r w:rsidRPr="4A9C830B">
        <w:rPr>
          <w:rFonts w:ascii="Helvetica" w:hAnsi="Helvetica" w:cs="Helvetica"/>
          <w:sz w:val="22"/>
          <w:szCs w:val="22"/>
        </w:rPr>
        <w:lastRenderedPageBreak/>
        <w:t>If the program fee has not been received by GEO at the time of cancellation or deferral, the penalty amount will be billed by GEO to the student’s account.</w:t>
      </w:r>
      <w:r>
        <w:rPr>
          <w:rFonts w:ascii="Helvetica" w:hAnsi="Helvetica" w:cs="Helvetica"/>
          <w:sz w:val="22"/>
          <w:szCs w:val="22"/>
        </w:rPr>
        <w:br/>
      </w:r>
    </w:p>
    <w:p w14:paraId="0F3120A1" w14:textId="77777777" w:rsidR="00355BB5" w:rsidRPr="00436C88" w:rsidRDefault="00355BB5" w:rsidP="00355BB5">
      <w:pPr>
        <w:pStyle w:val="ListParagraph"/>
        <w:numPr>
          <w:ilvl w:val="0"/>
          <w:numId w:val="11"/>
        </w:numPr>
        <w:ind w:left="360"/>
        <w:rPr>
          <w:rFonts w:ascii="Helvetica" w:hAnsi="Helvetica"/>
          <w:b/>
          <w:bCs/>
          <w:sz w:val="22"/>
          <w:szCs w:val="22"/>
        </w:rPr>
      </w:pPr>
      <w:r w:rsidRPr="00436C88">
        <w:rPr>
          <w:rFonts w:ascii="Helvetica" w:hAnsi="Helvetica"/>
          <w:b/>
          <w:bCs/>
          <w:sz w:val="22"/>
          <w:szCs w:val="22"/>
        </w:rPr>
        <w:t xml:space="preserve">This Cancellation and Deferral Policy only covers the GEO costs that are due to GEO. </w:t>
      </w:r>
      <w:r>
        <w:rPr>
          <w:rFonts w:ascii="Helvetica" w:hAnsi="Helvetica"/>
          <w:b/>
          <w:bCs/>
          <w:sz w:val="22"/>
          <w:szCs w:val="22"/>
        </w:rPr>
        <w:t xml:space="preserve">As a reminder, GEO pays DIS on the student’s behalf, and GEO bills students the amount charged by DIS. </w:t>
      </w:r>
      <w:r w:rsidRPr="00436C88">
        <w:rPr>
          <w:rFonts w:ascii="Helvetica" w:hAnsi="Helvetica"/>
          <w:b/>
          <w:bCs/>
          <w:sz w:val="22"/>
          <w:szCs w:val="22"/>
        </w:rPr>
        <w:t>Students must follow the payment and refund policy outlined by the program provider (</w:t>
      </w:r>
      <w:r>
        <w:rPr>
          <w:rFonts w:ascii="Helvetica" w:hAnsi="Helvetica"/>
          <w:b/>
          <w:bCs/>
          <w:sz w:val="22"/>
          <w:szCs w:val="22"/>
        </w:rPr>
        <w:t>DIS)</w:t>
      </w:r>
      <w:r w:rsidRPr="00436C88">
        <w:rPr>
          <w:rFonts w:ascii="Helvetica" w:hAnsi="Helvetica"/>
          <w:b/>
          <w:bCs/>
          <w:sz w:val="22"/>
          <w:szCs w:val="22"/>
        </w:rPr>
        <w:t xml:space="preserve"> for the program fees or other costs that are due directly to the program provider (</w:t>
      </w:r>
      <w:r>
        <w:rPr>
          <w:rFonts w:ascii="Helvetica" w:hAnsi="Helvetica"/>
          <w:b/>
          <w:bCs/>
          <w:sz w:val="22"/>
          <w:szCs w:val="22"/>
        </w:rPr>
        <w:t>DIS</w:t>
      </w:r>
      <w:r w:rsidRPr="00436C88">
        <w:rPr>
          <w:rFonts w:ascii="Helvetica" w:hAnsi="Helvetica"/>
          <w:b/>
          <w:bCs/>
          <w:sz w:val="22"/>
          <w:szCs w:val="22"/>
        </w:rPr>
        <w:t>).</w:t>
      </w:r>
    </w:p>
    <w:p w14:paraId="6ABD8366" w14:textId="77777777" w:rsidR="00355BB5" w:rsidRPr="00436C88" w:rsidRDefault="00355BB5" w:rsidP="00355BB5">
      <w:pPr>
        <w:pStyle w:val="ListParagraph"/>
        <w:rPr>
          <w:rFonts w:ascii="Helvetica" w:hAnsi="Helvetica" w:cs="Helvetica"/>
          <w:sz w:val="22"/>
          <w:szCs w:val="22"/>
        </w:rPr>
      </w:pPr>
    </w:p>
    <w:p w14:paraId="0366C1C4" w14:textId="77777777" w:rsidR="00355BB5" w:rsidRPr="00B15B4C" w:rsidRDefault="00355BB5" w:rsidP="00355BB5">
      <w:pPr>
        <w:pStyle w:val="ListParagraph"/>
        <w:numPr>
          <w:ilvl w:val="0"/>
          <w:numId w:val="11"/>
        </w:numPr>
        <w:shd w:val="clear" w:color="auto" w:fill="FFFFFF"/>
        <w:ind w:left="360"/>
        <w:rPr>
          <w:rFonts w:ascii="Helvetica" w:hAnsi="Helvetica" w:cs="Helvetica"/>
          <w:sz w:val="22"/>
          <w:szCs w:val="22"/>
        </w:rPr>
      </w:pPr>
      <w:r w:rsidRPr="00B15B4C">
        <w:rPr>
          <w:rFonts w:ascii="Helvetica" w:hAnsi="Helvetica" w:cs="Helvetica"/>
          <w:sz w:val="22"/>
          <w:szCs w:val="22"/>
        </w:rPr>
        <w:t>GEO fees include: the GEO program fee, the UO Study Abroad fee (UO students only), and/or any other fees that are billed by GEO</w:t>
      </w:r>
      <w:r>
        <w:rPr>
          <w:rFonts w:ascii="Helvetica" w:hAnsi="Helvetica" w:cs="Helvetica"/>
          <w:sz w:val="22"/>
          <w:szCs w:val="22"/>
        </w:rPr>
        <w:t xml:space="preserve"> (including the DIS tuition and housing fees)</w:t>
      </w:r>
      <w:r w:rsidRPr="00B15B4C">
        <w:rPr>
          <w:rFonts w:ascii="Helvetica" w:hAnsi="Helvetica" w:cs="Helvetica"/>
          <w:sz w:val="22"/>
          <w:szCs w:val="22"/>
        </w:rPr>
        <w:t>.</w:t>
      </w:r>
    </w:p>
    <w:p w14:paraId="18242A49" w14:textId="77777777" w:rsidR="00355BB5" w:rsidRPr="00B15B4C" w:rsidRDefault="00355BB5" w:rsidP="00355BB5">
      <w:pPr>
        <w:shd w:val="clear" w:color="auto" w:fill="FFFFFF"/>
        <w:contextualSpacing/>
        <w:rPr>
          <w:rFonts w:ascii="Helvetica" w:hAnsi="Helvetica" w:cs="Helvetica"/>
          <w:sz w:val="22"/>
          <w:szCs w:val="22"/>
        </w:rPr>
      </w:pPr>
    </w:p>
    <w:p w14:paraId="3E770132" w14:textId="77777777" w:rsidR="00355BB5" w:rsidRPr="00B15B4C" w:rsidRDefault="00355BB5" w:rsidP="00355BB5">
      <w:pPr>
        <w:pStyle w:val="ListParagraph"/>
        <w:numPr>
          <w:ilvl w:val="0"/>
          <w:numId w:val="11"/>
        </w:numPr>
        <w:shd w:val="clear" w:color="auto" w:fill="FFFFFF"/>
        <w:ind w:left="360"/>
        <w:rPr>
          <w:rFonts w:ascii="Helvetica" w:hAnsi="Helvetica" w:cs="Helvetica"/>
          <w:sz w:val="22"/>
          <w:szCs w:val="22"/>
        </w:rPr>
      </w:pPr>
      <w:r w:rsidRPr="00B15B4C">
        <w:rPr>
          <w:rFonts w:ascii="Helvetica" w:hAnsi="Helvetica" w:cs="Helvetica"/>
          <w:sz w:val="22"/>
          <w:szCs w:val="22"/>
        </w:rPr>
        <w:t>Some U.S. partner institutions have a direct billing arrangement with GEO and pay fees on behalf of their students. GEO refunds will be sent to the billed party: if GEO bills the institution, the refund is sent to the institution; if GEO bills the student, the refund is sent to the student at the permanent address listed on the initial application unless otherwise requested. Students who are unsure about the billing arrangements of their home institution should check with their home institution’s study abroad office.</w:t>
      </w:r>
    </w:p>
    <w:p w14:paraId="7675AA5C" w14:textId="77777777" w:rsidR="00355BB5" w:rsidRPr="00B15B4C" w:rsidRDefault="00355BB5" w:rsidP="00355BB5">
      <w:pPr>
        <w:pStyle w:val="ListParagraph"/>
        <w:ind w:left="360"/>
        <w:rPr>
          <w:rFonts w:ascii="Helvetica" w:hAnsi="Helvetica" w:cs="Helvetica"/>
          <w:sz w:val="22"/>
          <w:szCs w:val="22"/>
        </w:rPr>
      </w:pPr>
    </w:p>
    <w:p w14:paraId="1B158B67" w14:textId="77777777" w:rsidR="00355BB5" w:rsidRPr="00B15B4C" w:rsidRDefault="00355BB5" w:rsidP="00355BB5">
      <w:pPr>
        <w:pStyle w:val="ListParagraph"/>
        <w:numPr>
          <w:ilvl w:val="0"/>
          <w:numId w:val="11"/>
        </w:numPr>
        <w:shd w:val="clear" w:color="auto" w:fill="FFFFFF"/>
        <w:ind w:left="360"/>
        <w:rPr>
          <w:rFonts w:ascii="Helvetica" w:hAnsi="Helvetica" w:cs="Helvetica"/>
          <w:sz w:val="22"/>
          <w:szCs w:val="22"/>
        </w:rPr>
      </w:pPr>
      <w:r w:rsidRPr="00B15B4C">
        <w:rPr>
          <w:rFonts w:ascii="Helvetica" w:hAnsi="Helvetica" w:cs="Helvetica"/>
          <w:sz w:val="22"/>
          <w:szCs w:val="22"/>
        </w:rPr>
        <w:t xml:space="preserve">GEO and </w:t>
      </w:r>
      <w:r>
        <w:rPr>
          <w:rFonts w:ascii="Helvetica" w:hAnsi="Helvetica" w:cs="Helvetica"/>
          <w:sz w:val="22"/>
          <w:szCs w:val="22"/>
        </w:rPr>
        <w:t>DIS</w:t>
      </w:r>
      <w:r w:rsidRPr="00B15B4C">
        <w:rPr>
          <w:rFonts w:ascii="Helvetica" w:hAnsi="Helvetica" w:cs="Helvetica"/>
          <w:sz w:val="22"/>
          <w:szCs w:val="22"/>
        </w:rPr>
        <w:t xml:space="preserve"> reserve the right to cancel a program due to low enrollment, natural disaster, public health emergency, political unrest, terrorism, acts of war or any other reasons beyond GEO's control. If a program is cancelled prior to the start date for any of these reasons, GEO will refund all payments received by GEO including the application fee, program deposit, and program fee. GEO assumes no further financial responsibility and is not responsible for airfare, visa fees, or any other fees related to the program that may have been paid. GEO strongly recommends that students purchase travel cancellation/interruption insurance.</w:t>
      </w:r>
    </w:p>
    <w:p w14:paraId="2491AB30" w14:textId="77777777" w:rsidR="00355BB5" w:rsidRDefault="00355BB5" w:rsidP="00355BB5">
      <w:pPr>
        <w:rPr>
          <w:rFonts w:ascii="Helvetica" w:hAnsi="Helvetica"/>
          <w:b/>
          <w:color w:val="124734"/>
        </w:rPr>
      </w:pPr>
    </w:p>
    <w:p w14:paraId="03610FD5" w14:textId="77777777" w:rsidR="00355BB5" w:rsidRPr="00F1572A" w:rsidRDefault="00355BB5" w:rsidP="00355BB5">
      <w:pPr>
        <w:rPr>
          <w:rFonts w:ascii="Helvetica" w:hAnsi="Helvetica"/>
          <w:b/>
          <w:color w:val="124734"/>
        </w:rPr>
      </w:pPr>
    </w:p>
    <w:p w14:paraId="3DA9051E" w14:textId="77777777" w:rsidR="00355BB5" w:rsidRDefault="00355BB5" w:rsidP="00355BB5">
      <w:pPr>
        <w:rPr>
          <w:rFonts w:ascii="Helvetica" w:hAnsi="Helvetica"/>
          <w:b/>
          <w:color w:val="124734"/>
          <w:sz w:val="22"/>
          <w:szCs w:val="22"/>
        </w:rPr>
      </w:pPr>
    </w:p>
    <w:p w14:paraId="18362638" w14:textId="77777777" w:rsidR="00355BB5" w:rsidRPr="005501A6" w:rsidRDefault="00355BB5" w:rsidP="00355BB5">
      <w:pPr>
        <w:rPr>
          <w:rFonts w:ascii="Helvetica" w:hAnsi="Helvetica"/>
          <w:b/>
          <w:color w:val="124734"/>
          <w:sz w:val="22"/>
          <w:szCs w:val="22"/>
        </w:rPr>
      </w:pPr>
      <w:r w:rsidRPr="005501A6">
        <w:rPr>
          <w:rFonts w:ascii="Helvetica" w:hAnsi="Helvetica"/>
          <w:b/>
          <w:color w:val="124734"/>
          <w:sz w:val="22"/>
          <w:szCs w:val="22"/>
        </w:rPr>
        <w:t>PAYMENT SCHEDULE</w:t>
      </w:r>
      <w:r w:rsidRPr="005501A6">
        <w:rPr>
          <w:rFonts w:ascii="Helvetica" w:hAnsi="Helvetica"/>
          <w:color w:val="124734"/>
          <w:sz w:val="22"/>
          <w:szCs w:val="22"/>
        </w:rPr>
        <w:t xml:space="preserve"> </w:t>
      </w:r>
      <w:r w:rsidRPr="005501A6">
        <w:rPr>
          <w:rFonts w:ascii="Helvetica" w:hAnsi="Helvetica"/>
          <w:sz w:val="22"/>
          <w:szCs w:val="22"/>
        </w:rPr>
        <w:t>(What is due when?)</w:t>
      </w:r>
    </w:p>
    <w:p w14:paraId="7064EF68" w14:textId="77777777" w:rsidR="00355BB5" w:rsidRPr="00063305" w:rsidRDefault="00355BB5" w:rsidP="00355BB5">
      <w:pPr>
        <w:pStyle w:val="Budgettext"/>
      </w:pPr>
    </w:p>
    <w:p w14:paraId="6B416A68" w14:textId="77777777" w:rsidR="00355BB5" w:rsidRPr="002118F9" w:rsidRDefault="00355BB5" w:rsidP="00355BB5">
      <w:pPr>
        <w:pStyle w:val="Budgettext"/>
        <w:rPr>
          <w:b/>
        </w:rPr>
      </w:pPr>
      <w:r w:rsidRPr="002118F9">
        <w:rPr>
          <w:b/>
        </w:rPr>
        <w:t>GEO will charge all program fees to your UO Student Billing Account.</w:t>
      </w:r>
    </w:p>
    <w:p w14:paraId="479BFAE9" w14:textId="77777777" w:rsidR="00355BB5" w:rsidRDefault="00355BB5" w:rsidP="00355BB5">
      <w:pPr>
        <w:pStyle w:val="Budgettext"/>
        <w:rPr>
          <w:b/>
        </w:rPr>
      </w:pPr>
    </w:p>
    <w:p w14:paraId="45F5A279" w14:textId="77777777" w:rsidR="00355BB5" w:rsidRPr="00E17458" w:rsidRDefault="00355BB5" w:rsidP="00355BB5">
      <w:pPr>
        <w:pStyle w:val="Budgettext"/>
        <w:spacing w:after="120"/>
        <w:rPr>
          <w:b/>
          <w:u w:val="single"/>
        </w:rPr>
      </w:pPr>
      <w:r w:rsidRPr="00E17458">
        <w:rPr>
          <w:b/>
          <w:u w:val="single"/>
        </w:rPr>
        <w:t>Billing and Payment Schedule</w:t>
      </w:r>
    </w:p>
    <w:tbl>
      <w:tblPr>
        <w:tblStyle w:val="TableGrid"/>
        <w:tblW w:w="0" w:type="auto"/>
        <w:tblLook w:val="04A0" w:firstRow="1" w:lastRow="0" w:firstColumn="1" w:lastColumn="0" w:noHBand="0" w:noVBand="1"/>
      </w:tblPr>
      <w:tblGrid>
        <w:gridCol w:w="1705"/>
        <w:gridCol w:w="7625"/>
      </w:tblGrid>
      <w:tr w:rsidR="00355BB5" w14:paraId="6EB390B8" w14:textId="77777777" w:rsidTr="0038162C">
        <w:trPr>
          <w:trHeight w:val="980"/>
        </w:trPr>
        <w:tc>
          <w:tcPr>
            <w:tcW w:w="1705" w:type="dxa"/>
            <w:vAlign w:val="center"/>
          </w:tcPr>
          <w:p w14:paraId="7B66D006" w14:textId="77777777" w:rsidR="00355BB5" w:rsidRPr="00E8621D" w:rsidRDefault="00355BB5" w:rsidP="0038162C">
            <w:pPr>
              <w:pStyle w:val="Budgettext"/>
            </w:pPr>
            <w:r w:rsidRPr="00323557">
              <w:t>When you are offered acceptance</w:t>
            </w:r>
          </w:p>
        </w:tc>
        <w:tc>
          <w:tcPr>
            <w:tcW w:w="7625" w:type="dxa"/>
            <w:vAlign w:val="center"/>
          </w:tcPr>
          <w:p w14:paraId="32476EBE" w14:textId="77777777" w:rsidR="00355BB5" w:rsidRPr="00323557" w:rsidRDefault="00355BB5" w:rsidP="0038162C">
            <w:pPr>
              <w:pStyle w:val="Budgettext"/>
              <w:spacing w:before="120"/>
            </w:pPr>
            <w:r w:rsidRPr="00323557">
              <w:t xml:space="preserve">A non-refundable program deposit of $500 is due within one week of acceptance or nomination offer to confirm your space on the program.  The program deposit is not an additional fee but is part of the total GEO program fee. </w:t>
            </w:r>
          </w:p>
          <w:p w14:paraId="79702C89" w14:textId="77777777" w:rsidR="00355BB5" w:rsidRPr="00323557" w:rsidRDefault="00355BB5" w:rsidP="0038162C">
            <w:pPr>
              <w:pStyle w:val="Budgettext"/>
            </w:pPr>
          </w:p>
          <w:p w14:paraId="5F6988D7" w14:textId="77777777" w:rsidR="00355BB5" w:rsidRPr="00E8621D" w:rsidRDefault="00355BB5" w:rsidP="0038162C">
            <w:pPr>
              <w:pStyle w:val="Budgettext"/>
              <w:spacing w:after="120"/>
            </w:pPr>
            <w:r w:rsidRPr="00323557">
              <w:t>Once a student has authorized GEO to charge the deposit to their UO student account, or has submitted the deposit directly to GEO, the program deposit is non-refundable except in cases where a student is denied acceptance to the program for which he or she has applied</w:t>
            </w:r>
            <w:r>
              <w:t xml:space="preserve"> or if the program is canceled</w:t>
            </w:r>
            <w:r w:rsidRPr="00323557">
              <w:t xml:space="preserve">. If the required application materials are not completed by the deadline, the application will be considered abandoned and cancelled by GEO. In such cases, the deposit will not be refunded. Students who fail to </w:t>
            </w:r>
            <w:r w:rsidRPr="00323557">
              <w:lastRenderedPageBreak/>
              <w:t>pay the program deposit by the first cancellation/deferral date listed below will have their program application canceled. </w:t>
            </w:r>
          </w:p>
        </w:tc>
      </w:tr>
      <w:tr w:rsidR="00355BB5" w14:paraId="59BAAF2B" w14:textId="77777777" w:rsidTr="0038162C">
        <w:trPr>
          <w:trHeight w:val="1745"/>
        </w:trPr>
        <w:tc>
          <w:tcPr>
            <w:tcW w:w="1705" w:type="dxa"/>
            <w:vAlign w:val="center"/>
          </w:tcPr>
          <w:p w14:paraId="79C3E345" w14:textId="77777777" w:rsidR="00355BB5" w:rsidRPr="00323557" w:rsidRDefault="00355BB5" w:rsidP="0038162C">
            <w:pPr>
              <w:pStyle w:val="Budgettext"/>
            </w:pPr>
            <w:r w:rsidRPr="00323557">
              <w:lastRenderedPageBreak/>
              <w:t>4 – 7 weeks before you depart</w:t>
            </w:r>
          </w:p>
          <w:p w14:paraId="6AF2B4CA" w14:textId="77777777" w:rsidR="00355BB5" w:rsidRPr="00E8621D" w:rsidRDefault="00355BB5" w:rsidP="0038162C">
            <w:pPr>
              <w:pStyle w:val="Budgettext"/>
            </w:pPr>
          </w:p>
        </w:tc>
        <w:tc>
          <w:tcPr>
            <w:tcW w:w="7625" w:type="dxa"/>
            <w:vAlign w:val="center"/>
          </w:tcPr>
          <w:p w14:paraId="7C0EAAC8" w14:textId="77777777" w:rsidR="00355BB5" w:rsidRPr="00E8621D" w:rsidRDefault="00355BB5" w:rsidP="0038162C">
            <w:pPr>
              <w:pStyle w:val="Budgettext"/>
            </w:pPr>
            <w:r w:rsidRPr="00323557">
              <w:t xml:space="preserve">GEO will bill your UO Student Billing Account for the remainder of your program fee. This amount will be due according to standard UO </w:t>
            </w:r>
            <w:hyperlink r:id="rId10" w:history="1">
              <w:r w:rsidRPr="00323557">
                <w:rPr>
                  <w:rStyle w:val="Hyperlink"/>
                </w:rPr>
                <w:t>Payment and Due Dates</w:t>
              </w:r>
            </w:hyperlink>
            <w:r w:rsidRPr="00323557">
              <w:t>. For programs that take place over multiple terms, GEO will bill you a percentage of your fee over each term.</w:t>
            </w:r>
          </w:p>
        </w:tc>
      </w:tr>
    </w:tbl>
    <w:p w14:paraId="69DEEFD7" w14:textId="77777777" w:rsidR="00355BB5" w:rsidRPr="00063305" w:rsidRDefault="00355BB5" w:rsidP="00355BB5">
      <w:pPr>
        <w:pStyle w:val="Budgettext"/>
      </w:pPr>
    </w:p>
    <w:p w14:paraId="28A4088A" w14:textId="77777777" w:rsidR="00355BB5" w:rsidRPr="00443EB5" w:rsidRDefault="00355BB5" w:rsidP="00355BB5">
      <w:pPr>
        <w:pStyle w:val="Budgettext"/>
        <w:rPr>
          <w:i/>
          <w:iCs/>
        </w:rPr>
      </w:pPr>
      <w:r w:rsidRPr="0DDBE923">
        <w:rPr>
          <w:i/>
          <w:iCs/>
        </w:rPr>
        <w:t xml:space="preserve">We encourage you to visit </w:t>
      </w:r>
      <w:hyperlink r:id="rId11">
        <w:r w:rsidRPr="0DDBE923">
          <w:rPr>
            <w:rStyle w:val="Hyperlink"/>
            <w:rFonts w:ascii="Arial" w:hAnsi="Arial" w:cs="Arial"/>
            <w:i/>
            <w:iCs/>
          </w:rPr>
          <w:t>https://geo.uoregon.edu/scholarships</w:t>
        </w:r>
      </w:hyperlink>
      <w:r w:rsidRPr="0DDBE923">
        <w:rPr>
          <w:i/>
          <w:iCs/>
        </w:rPr>
        <w:t xml:space="preserve"> to learn about scholarship and funding opportunities. Speak with a </w:t>
      </w:r>
      <w:hyperlink r:id="rId12">
        <w:r w:rsidRPr="0DDBE923">
          <w:rPr>
            <w:rStyle w:val="Hyperlink"/>
            <w:i/>
            <w:iCs/>
          </w:rPr>
          <w:t>financial aid counselor</w:t>
        </w:r>
      </w:hyperlink>
      <w:r w:rsidRPr="0DDBE923">
        <w:rPr>
          <w:i/>
          <w:iCs/>
        </w:rPr>
        <w:t xml:space="preserve"> regarding your current financial aid package. </w:t>
      </w:r>
    </w:p>
    <w:p w14:paraId="37E84C28" w14:textId="77777777" w:rsidR="00355BB5" w:rsidRPr="00063305" w:rsidRDefault="00355BB5" w:rsidP="00355BB5">
      <w:pPr>
        <w:pStyle w:val="Budgettext"/>
        <w:rPr>
          <w:i/>
        </w:rPr>
      </w:pPr>
    </w:p>
    <w:p w14:paraId="1E2F8831" w14:textId="5C746961" w:rsidR="00324E92" w:rsidRDefault="00324E92">
      <w:pPr>
        <w:rPr>
          <w:rFonts w:ascii="Helvetica" w:hAnsi="Helvetica"/>
          <w:b/>
          <w:color w:val="124734"/>
          <w:sz w:val="22"/>
          <w:szCs w:val="22"/>
        </w:rPr>
      </w:pPr>
    </w:p>
    <w:sectPr w:rsidR="00324E92" w:rsidSect="00355BB5">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73EB" w14:textId="77777777" w:rsidR="00324E92" w:rsidRDefault="00324E92" w:rsidP="00A02524">
      <w:r>
        <w:separator/>
      </w:r>
    </w:p>
  </w:endnote>
  <w:endnote w:type="continuationSeparator" w:id="0">
    <w:p w14:paraId="46F53E00" w14:textId="77777777" w:rsidR="00324E92" w:rsidRDefault="00324E92" w:rsidP="00A0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41781010"/>
      <w:docPartObj>
        <w:docPartGallery w:val="Page Numbers (Bottom of Page)"/>
        <w:docPartUnique/>
      </w:docPartObj>
    </w:sdtPr>
    <w:sdtEndPr>
      <w:rPr>
        <w:rStyle w:val="PageNumber"/>
      </w:rPr>
    </w:sdtEndPr>
    <w:sdtContent>
      <w:p w14:paraId="17613BF6" w14:textId="0418293E" w:rsidR="00355BB5" w:rsidRDefault="00355BB5" w:rsidP="004266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706F0D" w14:textId="77777777" w:rsidR="00355BB5" w:rsidRDefault="0035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7325363"/>
      <w:docPartObj>
        <w:docPartGallery w:val="Page Numbers (Bottom of Page)"/>
        <w:docPartUnique/>
      </w:docPartObj>
    </w:sdtPr>
    <w:sdtEndPr>
      <w:rPr>
        <w:rStyle w:val="PageNumber"/>
        <w:rFonts w:ascii="Helvetica" w:hAnsi="Helvetica"/>
        <w:sz w:val="21"/>
        <w:szCs w:val="21"/>
      </w:rPr>
    </w:sdtEndPr>
    <w:sdtContent>
      <w:p w14:paraId="15FAA999" w14:textId="206FE86C" w:rsidR="00355BB5" w:rsidRPr="00355BB5" w:rsidRDefault="00355BB5" w:rsidP="0042667B">
        <w:pPr>
          <w:pStyle w:val="Footer"/>
          <w:framePr w:wrap="none" w:vAnchor="text" w:hAnchor="margin" w:xAlign="center" w:y="1"/>
          <w:rPr>
            <w:rStyle w:val="PageNumber"/>
            <w:rFonts w:ascii="Helvetica" w:hAnsi="Helvetica"/>
            <w:sz w:val="21"/>
            <w:szCs w:val="21"/>
          </w:rPr>
        </w:pPr>
        <w:r w:rsidRPr="00355BB5">
          <w:rPr>
            <w:rStyle w:val="PageNumber"/>
            <w:rFonts w:ascii="Helvetica" w:hAnsi="Helvetica"/>
            <w:sz w:val="21"/>
            <w:szCs w:val="21"/>
          </w:rPr>
          <w:fldChar w:fldCharType="begin"/>
        </w:r>
        <w:r w:rsidRPr="00355BB5">
          <w:rPr>
            <w:rStyle w:val="PageNumber"/>
            <w:rFonts w:ascii="Helvetica" w:hAnsi="Helvetica"/>
            <w:sz w:val="21"/>
            <w:szCs w:val="21"/>
          </w:rPr>
          <w:instrText xml:space="preserve"> PAGE </w:instrText>
        </w:r>
        <w:r w:rsidRPr="00355BB5">
          <w:rPr>
            <w:rStyle w:val="PageNumber"/>
            <w:rFonts w:ascii="Helvetica" w:hAnsi="Helvetica"/>
            <w:sz w:val="21"/>
            <w:szCs w:val="21"/>
          </w:rPr>
          <w:fldChar w:fldCharType="separate"/>
        </w:r>
        <w:r w:rsidRPr="00355BB5">
          <w:rPr>
            <w:rStyle w:val="PageNumber"/>
            <w:rFonts w:ascii="Helvetica" w:hAnsi="Helvetica"/>
            <w:noProof/>
            <w:sz w:val="21"/>
            <w:szCs w:val="21"/>
          </w:rPr>
          <w:t>3</w:t>
        </w:r>
        <w:r w:rsidRPr="00355BB5">
          <w:rPr>
            <w:rStyle w:val="PageNumber"/>
            <w:rFonts w:ascii="Helvetica" w:hAnsi="Helvetica"/>
            <w:sz w:val="21"/>
            <w:szCs w:val="21"/>
          </w:rPr>
          <w:fldChar w:fldCharType="end"/>
        </w:r>
      </w:p>
    </w:sdtContent>
  </w:sdt>
  <w:p w14:paraId="5D7017A4" w14:textId="4577DFC2" w:rsidR="00324E92" w:rsidRPr="00355BB5" w:rsidRDefault="00324E92">
    <w:pPr>
      <w:pStyle w:val="Footer"/>
      <w:rPr>
        <w:rFonts w:ascii="Helvetica" w:hAnsi="Helvetica"/>
        <w:sz w:val="21"/>
        <w:szCs w:val="21"/>
      </w:rPr>
    </w:pPr>
  </w:p>
  <w:p w14:paraId="3047C8DE" w14:textId="77777777" w:rsidR="00324E92" w:rsidRDefault="00324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48CE4" w14:textId="77777777" w:rsidR="00324E92" w:rsidRDefault="00324E92" w:rsidP="00A02524">
      <w:r>
        <w:separator/>
      </w:r>
    </w:p>
  </w:footnote>
  <w:footnote w:type="continuationSeparator" w:id="0">
    <w:p w14:paraId="3A1F5241" w14:textId="77777777" w:rsidR="00324E92" w:rsidRDefault="00324E92" w:rsidP="00A0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8CAB" w14:textId="270B46C6" w:rsidR="00324E92" w:rsidRDefault="00324E92">
    <w:pPr>
      <w:pStyle w:val="Header"/>
    </w:pPr>
  </w:p>
  <w:p w14:paraId="3DF697E9" w14:textId="77777777" w:rsidR="00324E92" w:rsidRDefault="0032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0EFF"/>
    <w:multiLevelType w:val="hybridMultilevel"/>
    <w:tmpl w:val="223C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54F26"/>
    <w:multiLevelType w:val="hybridMultilevel"/>
    <w:tmpl w:val="9C1ED4B6"/>
    <w:lvl w:ilvl="0" w:tplc="01E2793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1076E3"/>
    <w:multiLevelType w:val="hybridMultilevel"/>
    <w:tmpl w:val="4EA2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444D8"/>
    <w:multiLevelType w:val="hybridMultilevel"/>
    <w:tmpl w:val="C3588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D45103"/>
    <w:multiLevelType w:val="multilevel"/>
    <w:tmpl w:val="2EBA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10033"/>
    <w:multiLevelType w:val="multilevel"/>
    <w:tmpl w:val="ACA2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E13EA"/>
    <w:multiLevelType w:val="multilevel"/>
    <w:tmpl w:val="4718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02938"/>
    <w:multiLevelType w:val="hybridMultilevel"/>
    <w:tmpl w:val="3C72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E2A4A"/>
    <w:multiLevelType w:val="hybridMultilevel"/>
    <w:tmpl w:val="44BA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D1B7F"/>
    <w:multiLevelType w:val="hybridMultilevel"/>
    <w:tmpl w:val="304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92386"/>
    <w:multiLevelType w:val="hybridMultilevel"/>
    <w:tmpl w:val="F31A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D7CC1"/>
    <w:multiLevelType w:val="hybridMultilevel"/>
    <w:tmpl w:val="B4A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797093">
    <w:abstractNumId w:val="2"/>
  </w:num>
  <w:num w:numId="2" w16cid:durableId="1905993761">
    <w:abstractNumId w:val="4"/>
  </w:num>
  <w:num w:numId="3" w16cid:durableId="40177076">
    <w:abstractNumId w:val="5"/>
  </w:num>
  <w:num w:numId="4" w16cid:durableId="1002123751">
    <w:abstractNumId w:val="10"/>
  </w:num>
  <w:num w:numId="5" w16cid:durableId="1425299711">
    <w:abstractNumId w:val="6"/>
  </w:num>
  <w:num w:numId="6" w16cid:durableId="1851142430">
    <w:abstractNumId w:val="7"/>
  </w:num>
  <w:num w:numId="7" w16cid:durableId="411199955">
    <w:abstractNumId w:val="3"/>
  </w:num>
  <w:num w:numId="8" w16cid:durableId="1477599325">
    <w:abstractNumId w:val="1"/>
  </w:num>
  <w:num w:numId="9" w16cid:durableId="1137336363">
    <w:abstractNumId w:val="11"/>
  </w:num>
  <w:num w:numId="10" w16cid:durableId="1307276412">
    <w:abstractNumId w:val="0"/>
  </w:num>
  <w:num w:numId="11" w16cid:durableId="832914353">
    <w:abstractNumId w:val="9"/>
  </w:num>
  <w:num w:numId="12" w16cid:durableId="320157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mailMerge>
    <w:mainDocumentType w:val="formLetters"/>
    <w:linkToQuery/>
    <w:dataType w:val="textFile"/>
    <w:query w:val="SELECT * FROM `'Budget Reports$'`"/>
    <w:activeRecord w:val="-1"/>
  </w:mailMerge>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AC"/>
    <w:rsid w:val="00000A01"/>
    <w:rsid w:val="0000206F"/>
    <w:rsid w:val="00006304"/>
    <w:rsid w:val="0001555E"/>
    <w:rsid w:val="0003369F"/>
    <w:rsid w:val="00033A88"/>
    <w:rsid w:val="000378FA"/>
    <w:rsid w:val="000422AF"/>
    <w:rsid w:val="00044372"/>
    <w:rsid w:val="00055BE4"/>
    <w:rsid w:val="00063305"/>
    <w:rsid w:val="00075B67"/>
    <w:rsid w:val="00076A1B"/>
    <w:rsid w:val="000863FF"/>
    <w:rsid w:val="00086B60"/>
    <w:rsid w:val="000B229D"/>
    <w:rsid w:val="000B5245"/>
    <w:rsid w:val="000B77B0"/>
    <w:rsid w:val="000C1A1A"/>
    <w:rsid w:val="000C3FC2"/>
    <w:rsid w:val="000C75DF"/>
    <w:rsid w:val="000D72C5"/>
    <w:rsid w:val="000F0059"/>
    <w:rsid w:val="000F4634"/>
    <w:rsid w:val="00143FE5"/>
    <w:rsid w:val="001453DA"/>
    <w:rsid w:val="0015256C"/>
    <w:rsid w:val="00152BC9"/>
    <w:rsid w:val="00155C44"/>
    <w:rsid w:val="001648AB"/>
    <w:rsid w:val="001649F9"/>
    <w:rsid w:val="00171D46"/>
    <w:rsid w:val="00171E09"/>
    <w:rsid w:val="00177282"/>
    <w:rsid w:val="00186E36"/>
    <w:rsid w:val="001A307D"/>
    <w:rsid w:val="001A58F0"/>
    <w:rsid w:val="001B15A6"/>
    <w:rsid w:val="001B3142"/>
    <w:rsid w:val="001D0539"/>
    <w:rsid w:val="001D0914"/>
    <w:rsid w:val="001D5354"/>
    <w:rsid w:val="001E3BEA"/>
    <w:rsid w:val="002118F9"/>
    <w:rsid w:val="00211AC6"/>
    <w:rsid w:val="00216925"/>
    <w:rsid w:val="0022211D"/>
    <w:rsid w:val="002271D3"/>
    <w:rsid w:val="00227920"/>
    <w:rsid w:val="002355EF"/>
    <w:rsid w:val="00246938"/>
    <w:rsid w:val="002476AC"/>
    <w:rsid w:val="00274FAA"/>
    <w:rsid w:val="002755B8"/>
    <w:rsid w:val="0028338F"/>
    <w:rsid w:val="002915C3"/>
    <w:rsid w:val="00293508"/>
    <w:rsid w:val="00296163"/>
    <w:rsid w:val="002B7902"/>
    <w:rsid w:val="002D19CD"/>
    <w:rsid w:val="002F21A6"/>
    <w:rsid w:val="00301D9C"/>
    <w:rsid w:val="00314D54"/>
    <w:rsid w:val="00317D1E"/>
    <w:rsid w:val="00324E92"/>
    <w:rsid w:val="00335786"/>
    <w:rsid w:val="00336991"/>
    <w:rsid w:val="00347048"/>
    <w:rsid w:val="00347893"/>
    <w:rsid w:val="0035228F"/>
    <w:rsid w:val="00355BB5"/>
    <w:rsid w:val="00366741"/>
    <w:rsid w:val="00372336"/>
    <w:rsid w:val="00387F9D"/>
    <w:rsid w:val="00390D34"/>
    <w:rsid w:val="003939D4"/>
    <w:rsid w:val="00397DBA"/>
    <w:rsid w:val="003C3BBC"/>
    <w:rsid w:val="003D45CB"/>
    <w:rsid w:val="003D6CC7"/>
    <w:rsid w:val="003E4582"/>
    <w:rsid w:val="003E536F"/>
    <w:rsid w:val="003F3563"/>
    <w:rsid w:val="004033C9"/>
    <w:rsid w:val="00411974"/>
    <w:rsid w:val="004178FE"/>
    <w:rsid w:val="004212CF"/>
    <w:rsid w:val="004334C7"/>
    <w:rsid w:val="004353FC"/>
    <w:rsid w:val="00455AFE"/>
    <w:rsid w:val="00457513"/>
    <w:rsid w:val="00460538"/>
    <w:rsid w:val="00472ED4"/>
    <w:rsid w:val="00477575"/>
    <w:rsid w:val="004836EF"/>
    <w:rsid w:val="00495771"/>
    <w:rsid w:val="004A4415"/>
    <w:rsid w:val="004B7E89"/>
    <w:rsid w:val="004C746A"/>
    <w:rsid w:val="004E50BF"/>
    <w:rsid w:val="004F67F9"/>
    <w:rsid w:val="00501BC4"/>
    <w:rsid w:val="005023FB"/>
    <w:rsid w:val="005123D1"/>
    <w:rsid w:val="0051331B"/>
    <w:rsid w:val="005252E5"/>
    <w:rsid w:val="0053250A"/>
    <w:rsid w:val="0053492C"/>
    <w:rsid w:val="005377A7"/>
    <w:rsid w:val="0054179B"/>
    <w:rsid w:val="005518F8"/>
    <w:rsid w:val="00556A97"/>
    <w:rsid w:val="005813CD"/>
    <w:rsid w:val="00590009"/>
    <w:rsid w:val="005913F1"/>
    <w:rsid w:val="00592987"/>
    <w:rsid w:val="00594318"/>
    <w:rsid w:val="005975BC"/>
    <w:rsid w:val="005B1122"/>
    <w:rsid w:val="005B731B"/>
    <w:rsid w:val="005C670F"/>
    <w:rsid w:val="005C7C75"/>
    <w:rsid w:val="005D3EDC"/>
    <w:rsid w:val="005D61A3"/>
    <w:rsid w:val="005D788D"/>
    <w:rsid w:val="00616229"/>
    <w:rsid w:val="00626465"/>
    <w:rsid w:val="0063654D"/>
    <w:rsid w:val="00640055"/>
    <w:rsid w:val="006408FE"/>
    <w:rsid w:val="00644CD4"/>
    <w:rsid w:val="00651BE9"/>
    <w:rsid w:val="00652D1C"/>
    <w:rsid w:val="006535B0"/>
    <w:rsid w:val="006603A3"/>
    <w:rsid w:val="00667BEC"/>
    <w:rsid w:val="00671076"/>
    <w:rsid w:val="00675CE8"/>
    <w:rsid w:val="0068295C"/>
    <w:rsid w:val="00691FB1"/>
    <w:rsid w:val="006B05A3"/>
    <w:rsid w:val="006B3088"/>
    <w:rsid w:val="006C65E6"/>
    <w:rsid w:val="006D0B7F"/>
    <w:rsid w:val="006D2B1A"/>
    <w:rsid w:val="006E38C9"/>
    <w:rsid w:val="006E433A"/>
    <w:rsid w:val="006F3C6B"/>
    <w:rsid w:val="00703C7F"/>
    <w:rsid w:val="00721072"/>
    <w:rsid w:val="00725D3E"/>
    <w:rsid w:val="00736961"/>
    <w:rsid w:val="00736D8A"/>
    <w:rsid w:val="00740E02"/>
    <w:rsid w:val="00752C98"/>
    <w:rsid w:val="00762D04"/>
    <w:rsid w:val="0077427C"/>
    <w:rsid w:val="0077717C"/>
    <w:rsid w:val="00782B0D"/>
    <w:rsid w:val="00784B46"/>
    <w:rsid w:val="007A463D"/>
    <w:rsid w:val="007A5338"/>
    <w:rsid w:val="007B1950"/>
    <w:rsid w:val="007B452C"/>
    <w:rsid w:val="007C2B0D"/>
    <w:rsid w:val="007D35CC"/>
    <w:rsid w:val="007F2A43"/>
    <w:rsid w:val="00803F82"/>
    <w:rsid w:val="008231F8"/>
    <w:rsid w:val="0083039B"/>
    <w:rsid w:val="00840D38"/>
    <w:rsid w:val="00861B2E"/>
    <w:rsid w:val="0086595C"/>
    <w:rsid w:val="00873B53"/>
    <w:rsid w:val="00882D2B"/>
    <w:rsid w:val="008912EA"/>
    <w:rsid w:val="008A4BD1"/>
    <w:rsid w:val="008B31C8"/>
    <w:rsid w:val="008B3D28"/>
    <w:rsid w:val="008C6D53"/>
    <w:rsid w:val="008D1561"/>
    <w:rsid w:val="008D1AEA"/>
    <w:rsid w:val="008D3163"/>
    <w:rsid w:val="008E3EE6"/>
    <w:rsid w:val="008E4609"/>
    <w:rsid w:val="008F2698"/>
    <w:rsid w:val="008F4E9D"/>
    <w:rsid w:val="009053CB"/>
    <w:rsid w:val="00925FA8"/>
    <w:rsid w:val="0093239B"/>
    <w:rsid w:val="00945838"/>
    <w:rsid w:val="00946EF2"/>
    <w:rsid w:val="009527E6"/>
    <w:rsid w:val="009636A8"/>
    <w:rsid w:val="0098094C"/>
    <w:rsid w:val="009828FC"/>
    <w:rsid w:val="009A58BC"/>
    <w:rsid w:val="009A655D"/>
    <w:rsid w:val="009B6CF1"/>
    <w:rsid w:val="009C5490"/>
    <w:rsid w:val="009E0F1E"/>
    <w:rsid w:val="009F5F08"/>
    <w:rsid w:val="009F5FB8"/>
    <w:rsid w:val="00A02524"/>
    <w:rsid w:val="00A14AEA"/>
    <w:rsid w:val="00A27594"/>
    <w:rsid w:val="00A4438F"/>
    <w:rsid w:val="00A56C43"/>
    <w:rsid w:val="00A604D4"/>
    <w:rsid w:val="00A75785"/>
    <w:rsid w:val="00A80219"/>
    <w:rsid w:val="00A9238E"/>
    <w:rsid w:val="00AA2443"/>
    <w:rsid w:val="00AA5A8F"/>
    <w:rsid w:val="00AA5AF6"/>
    <w:rsid w:val="00AB3666"/>
    <w:rsid w:val="00AD4D84"/>
    <w:rsid w:val="00AD6217"/>
    <w:rsid w:val="00B02A89"/>
    <w:rsid w:val="00B15EC1"/>
    <w:rsid w:val="00B3061C"/>
    <w:rsid w:val="00B3486E"/>
    <w:rsid w:val="00B404FE"/>
    <w:rsid w:val="00B47B10"/>
    <w:rsid w:val="00B60642"/>
    <w:rsid w:val="00B64C02"/>
    <w:rsid w:val="00B81D67"/>
    <w:rsid w:val="00B8229E"/>
    <w:rsid w:val="00B94802"/>
    <w:rsid w:val="00BA090B"/>
    <w:rsid w:val="00BA585F"/>
    <w:rsid w:val="00BA7756"/>
    <w:rsid w:val="00BB0ADD"/>
    <w:rsid w:val="00BC1BDA"/>
    <w:rsid w:val="00BC22BC"/>
    <w:rsid w:val="00BD61CD"/>
    <w:rsid w:val="00BD6D75"/>
    <w:rsid w:val="00BD75BC"/>
    <w:rsid w:val="00BE106A"/>
    <w:rsid w:val="00BE27DF"/>
    <w:rsid w:val="00BE343C"/>
    <w:rsid w:val="00BF6993"/>
    <w:rsid w:val="00C01A8D"/>
    <w:rsid w:val="00C0641F"/>
    <w:rsid w:val="00C14F78"/>
    <w:rsid w:val="00C173AC"/>
    <w:rsid w:val="00C32DED"/>
    <w:rsid w:val="00C50549"/>
    <w:rsid w:val="00C6711F"/>
    <w:rsid w:val="00C86E1E"/>
    <w:rsid w:val="00C966EE"/>
    <w:rsid w:val="00CA038A"/>
    <w:rsid w:val="00CA2433"/>
    <w:rsid w:val="00CA4CC3"/>
    <w:rsid w:val="00CA58D9"/>
    <w:rsid w:val="00CB03C6"/>
    <w:rsid w:val="00CC4226"/>
    <w:rsid w:val="00CC7D51"/>
    <w:rsid w:val="00CD00CE"/>
    <w:rsid w:val="00CD560D"/>
    <w:rsid w:val="00CE0FEF"/>
    <w:rsid w:val="00CF6808"/>
    <w:rsid w:val="00D05895"/>
    <w:rsid w:val="00D331CB"/>
    <w:rsid w:val="00D438D4"/>
    <w:rsid w:val="00D4483D"/>
    <w:rsid w:val="00D6074F"/>
    <w:rsid w:val="00D66F05"/>
    <w:rsid w:val="00D85BD1"/>
    <w:rsid w:val="00D92A44"/>
    <w:rsid w:val="00D92FC9"/>
    <w:rsid w:val="00DA17E8"/>
    <w:rsid w:val="00DA672E"/>
    <w:rsid w:val="00DA73E5"/>
    <w:rsid w:val="00DC00DA"/>
    <w:rsid w:val="00DC1F9B"/>
    <w:rsid w:val="00DD1F71"/>
    <w:rsid w:val="00DD55C7"/>
    <w:rsid w:val="00DE4DC8"/>
    <w:rsid w:val="00DF613F"/>
    <w:rsid w:val="00E0307B"/>
    <w:rsid w:val="00E0618E"/>
    <w:rsid w:val="00E073BD"/>
    <w:rsid w:val="00E143BF"/>
    <w:rsid w:val="00E17956"/>
    <w:rsid w:val="00E223C0"/>
    <w:rsid w:val="00E27009"/>
    <w:rsid w:val="00E34097"/>
    <w:rsid w:val="00E445EE"/>
    <w:rsid w:val="00E51D46"/>
    <w:rsid w:val="00E528DF"/>
    <w:rsid w:val="00E83173"/>
    <w:rsid w:val="00E8621D"/>
    <w:rsid w:val="00E9064D"/>
    <w:rsid w:val="00EB6631"/>
    <w:rsid w:val="00EC4180"/>
    <w:rsid w:val="00EC7A34"/>
    <w:rsid w:val="00EC7AFF"/>
    <w:rsid w:val="00ED7C35"/>
    <w:rsid w:val="00EF5B3A"/>
    <w:rsid w:val="00EF6145"/>
    <w:rsid w:val="00F010A9"/>
    <w:rsid w:val="00F162F9"/>
    <w:rsid w:val="00F350C5"/>
    <w:rsid w:val="00F46A02"/>
    <w:rsid w:val="00F523A4"/>
    <w:rsid w:val="00F53888"/>
    <w:rsid w:val="00F55EF1"/>
    <w:rsid w:val="00F62B37"/>
    <w:rsid w:val="00F65FB9"/>
    <w:rsid w:val="00F76FBC"/>
    <w:rsid w:val="00F8494D"/>
    <w:rsid w:val="00F91F89"/>
    <w:rsid w:val="00F94C95"/>
    <w:rsid w:val="00F97D60"/>
    <w:rsid w:val="00FA5E8B"/>
    <w:rsid w:val="00FB1995"/>
    <w:rsid w:val="00FB6A59"/>
    <w:rsid w:val="00FC07C9"/>
    <w:rsid w:val="00FF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84CDF67"/>
  <w15:docId w15:val="{B16CF2CF-3A01-429F-A9EC-8FBC4EAE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6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476AC"/>
    <w:rPr>
      <w:rFonts w:ascii="Lucida Grande" w:hAnsi="Lucida Grande"/>
      <w:sz w:val="18"/>
      <w:szCs w:val="18"/>
    </w:rPr>
  </w:style>
  <w:style w:type="table" w:styleId="TableGrid">
    <w:name w:val="Table Grid"/>
    <w:basedOn w:val="TableNormal"/>
    <w:uiPriority w:val="59"/>
    <w:rsid w:val="00247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771"/>
    <w:pPr>
      <w:ind w:left="720"/>
      <w:contextualSpacing/>
    </w:pPr>
  </w:style>
  <w:style w:type="paragraph" w:styleId="Header">
    <w:name w:val="header"/>
    <w:basedOn w:val="Normal"/>
    <w:link w:val="HeaderChar"/>
    <w:uiPriority w:val="99"/>
    <w:unhideWhenUsed/>
    <w:rsid w:val="00A02524"/>
    <w:pPr>
      <w:tabs>
        <w:tab w:val="center" w:pos="4680"/>
        <w:tab w:val="right" w:pos="9360"/>
      </w:tabs>
    </w:pPr>
  </w:style>
  <w:style w:type="character" w:customStyle="1" w:styleId="HeaderChar">
    <w:name w:val="Header Char"/>
    <w:basedOn w:val="DefaultParagraphFont"/>
    <w:link w:val="Header"/>
    <w:uiPriority w:val="99"/>
    <w:rsid w:val="00A02524"/>
  </w:style>
  <w:style w:type="paragraph" w:styleId="Footer">
    <w:name w:val="footer"/>
    <w:basedOn w:val="Normal"/>
    <w:link w:val="FooterChar"/>
    <w:uiPriority w:val="99"/>
    <w:unhideWhenUsed/>
    <w:rsid w:val="00A02524"/>
    <w:pPr>
      <w:tabs>
        <w:tab w:val="center" w:pos="4680"/>
        <w:tab w:val="right" w:pos="9360"/>
      </w:tabs>
    </w:pPr>
  </w:style>
  <w:style w:type="character" w:customStyle="1" w:styleId="FooterChar">
    <w:name w:val="Footer Char"/>
    <w:basedOn w:val="DefaultParagraphFont"/>
    <w:link w:val="Footer"/>
    <w:uiPriority w:val="99"/>
    <w:rsid w:val="00A02524"/>
  </w:style>
  <w:style w:type="character" w:styleId="Hyperlink">
    <w:name w:val="Hyperlink"/>
    <w:basedOn w:val="DefaultParagraphFont"/>
    <w:uiPriority w:val="99"/>
    <w:unhideWhenUsed/>
    <w:rsid w:val="00C173AC"/>
    <w:rPr>
      <w:color w:val="0000FF" w:themeColor="hyperlink"/>
      <w:u w:val="single"/>
    </w:rPr>
  </w:style>
  <w:style w:type="paragraph" w:customStyle="1" w:styleId="notation">
    <w:name w:val="notation"/>
    <w:basedOn w:val="Normal"/>
    <w:rsid w:val="003C3BB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43FE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813CD"/>
    <w:rPr>
      <w:sz w:val="16"/>
      <w:szCs w:val="16"/>
    </w:rPr>
  </w:style>
  <w:style w:type="paragraph" w:styleId="CommentText">
    <w:name w:val="annotation text"/>
    <w:basedOn w:val="Normal"/>
    <w:link w:val="CommentTextChar"/>
    <w:uiPriority w:val="99"/>
    <w:semiHidden/>
    <w:unhideWhenUsed/>
    <w:rsid w:val="005813CD"/>
    <w:rPr>
      <w:sz w:val="20"/>
      <w:szCs w:val="20"/>
    </w:rPr>
  </w:style>
  <w:style w:type="character" w:customStyle="1" w:styleId="CommentTextChar">
    <w:name w:val="Comment Text Char"/>
    <w:basedOn w:val="DefaultParagraphFont"/>
    <w:link w:val="CommentText"/>
    <w:uiPriority w:val="99"/>
    <w:semiHidden/>
    <w:rsid w:val="005813CD"/>
    <w:rPr>
      <w:sz w:val="20"/>
      <w:szCs w:val="20"/>
    </w:rPr>
  </w:style>
  <w:style w:type="paragraph" w:styleId="CommentSubject">
    <w:name w:val="annotation subject"/>
    <w:basedOn w:val="CommentText"/>
    <w:next w:val="CommentText"/>
    <w:link w:val="CommentSubjectChar"/>
    <w:uiPriority w:val="99"/>
    <w:semiHidden/>
    <w:unhideWhenUsed/>
    <w:rsid w:val="005813CD"/>
    <w:rPr>
      <w:b/>
      <w:bCs/>
    </w:rPr>
  </w:style>
  <w:style w:type="character" w:customStyle="1" w:styleId="CommentSubjectChar">
    <w:name w:val="Comment Subject Char"/>
    <w:basedOn w:val="CommentTextChar"/>
    <w:link w:val="CommentSubject"/>
    <w:uiPriority w:val="99"/>
    <w:semiHidden/>
    <w:rsid w:val="005813CD"/>
    <w:rPr>
      <w:b/>
      <w:bCs/>
      <w:sz w:val="20"/>
      <w:szCs w:val="20"/>
    </w:rPr>
  </w:style>
  <w:style w:type="table" w:styleId="PlainTable2">
    <w:name w:val="Plain Table 2"/>
    <w:basedOn w:val="TableNormal"/>
    <w:uiPriority w:val="99"/>
    <w:rsid w:val="009828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99"/>
    <w:rsid w:val="009828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dgettext">
    <w:name w:val="Budget text"/>
    <w:basedOn w:val="Normal"/>
    <w:link w:val="BudgettextChar"/>
    <w:qFormat/>
    <w:rsid w:val="0093239B"/>
    <w:rPr>
      <w:rFonts w:ascii="Helvetica" w:hAnsi="Helvetica"/>
      <w:sz w:val="22"/>
      <w:szCs w:val="22"/>
    </w:rPr>
  </w:style>
  <w:style w:type="character" w:customStyle="1" w:styleId="BudgettextChar">
    <w:name w:val="Budget text Char"/>
    <w:basedOn w:val="DefaultParagraphFont"/>
    <w:link w:val="Budgettext"/>
    <w:rsid w:val="0093239B"/>
    <w:rPr>
      <w:rFonts w:ascii="Helvetica" w:hAnsi="Helvetica"/>
      <w:sz w:val="22"/>
      <w:szCs w:val="22"/>
    </w:rPr>
  </w:style>
  <w:style w:type="character" w:styleId="PageNumber">
    <w:name w:val="page number"/>
    <w:basedOn w:val="DefaultParagraphFont"/>
    <w:uiPriority w:val="99"/>
    <w:semiHidden/>
    <w:unhideWhenUsed/>
    <w:rsid w:val="0035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6540">
      <w:bodyDiv w:val="1"/>
      <w:marLeft w:val="0"/>
      <w:marRight w:val="0"/>
      <w:marTop w:val="0"/>
      <w:marBottom w:val="0"/>
      <w:divBdr>
        <w:top w:val="none" w:sz="0" w:space="0" w:color="auto"/>
        <w:left w:val="none" w:sz="0" w:space="0" w:color="auto"/>
        <w:bottom w:val="none" w:sz="0" w:space="0" w:color="auto"/>
        <w:right w:val="none" w:sz="0" w:space="0" w:color="auto"/>
      </w:divBdr>
    </w:div>
    <w:div w:id="226961301">
      <w:bodyDiv w:val="1"/>
      <w:marLeft w:val="0"/>
      <w:marRight w:val="0"/>
      <w:marTop w:val="0"/>
      <w:marBottom w:val="0"/>
      <w:divBdr>
        <w:top w:val="none" w:sz="0" w:space="0" w:color="auto"/>
        <w:left w:val="none" w:sz="0" w:space="0" w:color="auto"/>
        <w:bottom w:val="none" w:sz="0" w:space="0" w:color="auto"/>
        <w:right w:val="none" w:sz="0" w:space="0" w:color="auto"/>
      </w:divBdr>
    </w:div>
    <w:div w:id="552815084">
      <w:bodyDiv w:val="1"/>
      <w:marLeft w:val="0"/>
      <w:marRight w:val="0"/>
      <w:marTop w:val="0"/>
      <w:marBottom w:val="0"/>
      <w:divBdr>
        <w:top w:val="none" w:sz="0" w:space="0" w:color="auto"/>
        <w:left w:val="none" w:sz="0" w:space="0" w:color="auto"/>
        <w:bottom w:val="none" w:sz="0" w:space="0" w:color="auto"/>
        <w:right w:val="none" w:sz="0" w:space="0" w:color="auto"/>
      </w:divBdr>
    </w:div>
    <w:div w:id="612634625">
      <w:bodyDiv w:val="1"/>
      <w:marLeft w:val="0"/>
      <w:marRight w:val="0"/>
      <w:marTop w:val="0"/>
      <w:marBottom w:val="0"/>
      <w:divBdr>
        <w:top w:val="none" w:sz="0" w:space="0" w:color="auto"/>
        <w:left w:val="none" w:sz="0" w:space="0" w:color="auto"/>
        <w:bottom w:val="none" w:sz="0" w:space="0" w:color="auto"/>
        <w:right w:val="none" w:sz="0" w:space="0" w:color="auto"/>
      </w:divBdr>
    </w:div>
    <w:div w:id="615450125">
      <w:bodyDiv w:val="1"/>
      <w:marLeft w:val="0"/>
      <w:marRight w:val="0"/>
      <w:marTop w:val="0"/>
      <w:marBottom w:val="0"/>
      <w:divBdr>
        <w:top w:val="none" w:sz="0" w:space="0" w:color="auto"/>
        <w:left w:val="none" w:sz="0" w:space="0" w:color="auto"/>
        <w:bottom w:val="none" w:sz="0" w:space="0" w:color="auto"/>
        <w:right w:val="none" w:sz="0" w:space="0" w:color="auto"/>
      </w:divBdr>
    </w:div>
    <w:div w:id="639266011">
      <w:bodyDiv w:val="1"/>
      <w:marLeft w:val="0"/>
      <w:marRight w:val="0"/>
      <w:marTop w:val="0"/>
      <w:marBottom w:val="0"/>
      <w:divBdr>
        <w:top w:val="none" w:sz="0" w:space="0" w:color="auto"/>
        <w:left w:val="none" w:sz="0" w:space="0" w:color="auto"/>
        <w:bottom w:val="none" w:sz="0" w:space="0" w:color="auto"/>
        <w:right w:val="none" w:sz="0" w:space="0" w:color="auto"/>
      </w:divBdr>
    </w:div>
    <w:div w:id="660738349">
      <w:bodyDiv w:val="1"/>
      <w:marLeft w:val="0"/>
      <w:marRight w:val="0"/>
      <w:marTop w:val="0"/>
      <w:marBottom w:val="0"/>
      <w:divBdr>
        <w:top w:val="none" w:sz="0" w:space="0" w:color="auto"/>
        <w:left w:val="none" w:sz="0" w:space="0" w:color="auto"/>
        <w:bottom w:val="none" w:sz="0" w:space="0" w:color="auto"/>
        <w:right w:val="none" w:sz="0" w:space="0" w:color="auto"/>
      </w:divBdr>
    </w:div>
    <w:div w:id="703865292">
      <w:bodyDiv w:val="1"/>
      <w:marLeft w:val="0"/>
      <w:marRight w:val="0"/>
      <w:marTop w:val="0"/>
      <w:marBottom w:val="0"/>
      <w:divBdr>
        <w:top w:val="none" w:sz="0" w:space="0" w:color="auto"/>
        <w:left w:val="none" w:sz="0" w:space="0" w:color="auto"/>
        <w:bottom w:val="none" w:sz="0" w:space="0" w:color="auto"/>
        <w:right w:val="none" w:sz="0" w:space="0" w:color="auto"/>
      </w:divBdr>
    </w:div>
    <w:div w:id="704255936">
      <w:bodyDiv w:val="1"/>
      <w:marLeft w:val="0"/>
      <w:marRight w:val="0"/>
      <w:marTop w:val="0"/>
      <w:marBottom w:val="0"/>
      <w:divBdr>
        <w:top w:val="none" w:sz="0" w:space="0" w:color="auto"/>
        <w:left w:val="none" w:sz="0" w:space="0" w:color="auto"/>
        <w:bottom w:val="none" w:sz="0" w:space="0" w:color="auto"/>
        <w:right w:val="none" w:sz="0" w:space="0" w:color="auto"/>
      </w:divBdr>
    </w:div>
    <w:div w:id="728577785">
      <w:bodyDiv w:val="1"/>
      <w:marLeft w:val="0"/>
      <w:marRight w:val="0"/>
      <w:marTop w:val="0"/>
      <w:marBottom w:val="0"/>
      <w:divBdr>
        <w:top w:val="none" w:sz="0" w:space="0" w:color="auto"/>
        <w:left w:val="none" w:sz="0" w:space="0" w:color="auto"/>
        <w:bottom w:val="none" w:sz="0" w:space="0" w:color="auto"/>
        <w:right w:val="none" w:sz="0" w:space="0" w:color="auto"/>
      </w:divBdr>
    </w:div>
    <w:div w:id="910695761">
      <w:bodyDiv w:val="1"/>
      <w:marLeft w:val="0"/>
      <w:marRight w:val="0"/>
      <w:marTop w:val="0"/>
      <w:marBottom w:val="0"/>
      <w:divBdr>
        <w:top w:val="none" w:sz="0" w:space="0" w:color="auto"/>
        <w:left w:val="none" w:sz="0" w:space="0" w:color="auto"/>
        <w:bottom w:val="none" w:sz="0" w:space="0" w:color="auto"/>
        <w:right w:val="none" w:sz="0" w:space="0" w:color="auto"/>
      </w:divBdr>
    </w:div>
    <w:div w:id="960453100">
      <w:bodyDiv w:val="1"/>
      <w:marLeft w:val="0"/>
      <w:marRight w:val="0"/>
      <w:marTop w:val="0"/>
      <w:marBottom w:val="0"/>
      <w:divBdr>
        <w:top w:val="none" w:sz="0" w:space="0" w:color="auto"/>
        <w:left w:val="none" w:sz="0" w:space="0" w:color="auto"/>
        <w:bottom w:val="none" w:sz="0" w:space="0" w:color="auto"/>
        <w:right w:val="none" w:sz="0" w:space="0" w:color="auto"/>
      </w:divBdr>
    </w:div>
    <w:div w:id="974136717">
      <w:bodyDiv w:val="1"/>
      <w:marLeft w:val="0"/>
      <w:marRight w:val="0"/>
      <w:marTop w:val="0"/>
      <w:marBottom w:val="0"/>
      <w:divBdr>
        <w:top w:val="none" w:sz="0" w:space="0" w:color="auto"/>
        <w:left w:val="none" w:sz="0" w:space="0" w:color="auto"/>
        <w:bottom w:val="none" w:sz="0" w:space="0" w:color="auto"/>
        <w:right w:val="none" w:sz="0" w:space="0" w:color="auto"/>
      </w:divBdr>
    </w:div>
    <w:div w:id="1150293603">
      <w:bodyDiv w:val="1"/>
      <w:marLeft w:val="0"/>
      <w:marRight w:val="0"/>
      <w:marTop w:val="0"/>
      <w:marBottom w:val="0"/>
      <w:divBdr>
        <w:top w:val="none" w:sz="0" w:space="0" w:color="auto"/>
        <w:left w:val="none" w:sz="0" w:space="0" w:color="auto"/>
        <w:bottom w:val="none" w:sz="0" w:space="0" w:color="auto"/>
        <w:right w:val="none" w:sz="0" w:space="0" w:color="auto"/>
      </w:divBdr>
    </w:div>
    <w:div w:id="1339118381">
      <w:bodyDiv w:val="1"/>
      <w:marLeft w:val="0"/>
      <w:marRight w:val="0"/>
      <w:marTop w:val="0"/>
      <w:marBottom w:val="0"/>
      <w:divBdr>
        <w:top w:val="none" w:sz="0" w:space="0" w:color="auto"/>
        <w:left w:val="none" w:sz="0" w:space="0" w:color="auto"/>
        <w:bottom w:val="none" w:sz="0" w:space="0" w:color="auto"/>
        <w:right w:val="none" w:sz="0" w:space="0" w:color="auto"/>
      </w:divBdr>
    </w:div>
    <w:div w:id="1391031127">
      <w:bodyDiv w:val="1"/>
      <w:marLeft w:val="0"/>
      <w:marRight w:val="0"/>
      <w:marTop w:val="0"/>
      <w:marBottom w:val="0"/>
      <w:divBdr>
        <w:top w:val="none" w:sz="0" w:space="0" w:color="auto"/>
        <w:left w:val="none" w:sz="0" w:space="0" w:color="auto"/>
        <w:bottom w:val="none" w:sz="0" w:space="0" w:color="auto"/>
        <w:right w:val="none" w:sz="0" w:space="0" w:color="auto"/>
      </w:divBdr>
    </w:div>
    <w:div w:id="1415974843">
      <w:bodyDiv w:val="1"/>
      <w:marLeft w:val="0"/>
      <w:marRight w:val="0"/>
      <w:marTop w:val="0"/>
      <w:marBottom w:val="0"/>
      <w:divBdr>
        <w:top w:val="none" w:sz="0" w:space="0" w:color="auto"/>
        <w:left w:val="none" w:sz="0" w:space="0" w:color="auto"/>
        <w:bottom w:val="none" w:sz="0" w:space="0" w:color="auto"/>
        <w:right w:val="none" w:sz="0" w:space="0" w:color="auto"/>
      </w:divBdr>
    </w:div>
    <w:div w:id="1497839897">
      <w:bodyDiv w:val="1"/>
      <w:marLeft w:val="0"/>
      <w:marRight w:val="0"/>
      <w:marTop w:val="0"/>
      <w:marBottom w:val="0"/>
      <w:divBdr>
        <w:top w:val="none" w:sz="0" w:space="0" w:color="auto"/>
        <w:left w:val="none" w:sz="0" w:space="0" w:color="auto"/>
        <w:bottom w:val="none" w:sz="0" w:space="0" w:color="auto"/>
        <w:right w:val="none" w:sz="0" w:space="0" w:color="auto"/>
      </w:divBdr>
    </w:div>
    <w:div w:id="1712420021">
      <w:bodyDiv w:val="1"/>
      <w:marLeft w:val="0"/>
      <w:marRight w:val="0"/>
      <w:marTop w:val="0"/>
      <w:marBottom w:val="0"/>
      <w:divBdr>
        <w:top w:val="none" w:sz="0" w:space="0" w:color="auto"/>
        <w:left w:val="none" w:sz="0" w:space="0" w:color="auto"/>
        <w:bottom w:val="none" w:sz="0" w:space="0" w:color="auto"/>
        <w:right w:val="none" w:sz="0" w:space="0" w:color="auto"/>
      </w:divBdr>
    </w:div>
    <w:div w:id="1800873711">
      <w:bodyDiv w:val="1"/>
      <w:marLeft w:val="0"/>
      <w:marRight w:val="0"/>
      <w:marTop w:val="0"/>
      <w:marBottom w:val="0"/>
      <w:divBdr>
        <w:top w:val="none" w:sz="0" w:space="0" w:color="auto"/>
        <w:left w:val="none" w:sz="0" w:space="0" w:color="auto"/>
        <w:bottom w:val="none" w:sz="0" w:space="0" w:color="auto"/>
        <w:right w:val="none" w:sz="0" w:space="0" w:color="auto"/>
      </w:divBdr>
    </w:div>
    <w:div w:id="1879930002">
      <w:bodyDiv w:val="1"/>
      <w:marLeft w:val="0"/>
      <w:marRight w:val="0"/>
      <w:marTop w:val="0"/>
      <w:marBottom w:val="0"/>
      <w:divBdr>
        <w:top w:val="none" w:sz="0" w:space="0" w:color="auto"/>
        <w:left w:val="none" w:sz="0" w:space="0" w:color="auto"/>
        <w:bottom w:val="none" w:sz="0" w:space="0" w:color="auto"/>
        <w:right w:val="none" w:sz="0" w:space="0" w:color="auto"/>
      </w:divBdr>
    </w:div>
    <w:div w:id="1926185437">
      <w:bodyDiv w:val="1"/>
      <w:marLeft w:val="0"/>
      <w:marRight w:val="0"/>
      <w:marTop w:val="0"/>
      <w:marBottom w:val="0"/>
      <w:divBdr>
        <w:top w:val="none" w:sz="0" w:space="0" w:color="auto"/>
        <w:left w:val="none" w:sz="0" w:space="0" w:color="auto"/>
        <w:bottom w:val="none" w:sz="0" w:space="0" w:color="auto"/>
        <w:right w:val="none" w:sz="0" w:space="0" w:color="auto"/>
      </w:divBdr>
    </w:div>
    <w:div w:id="1928951869">
      <w:bodyDiv w:val="1"/>
      <w:marLeft w:val="0"/>
      <w:marRight w:val="0"/>
      <w:marTop w:val="0"/>
      <w:marBottom w:val="0"/>
      <w:divBdr>
        <w:top w:val="none" w:sz="0" w:space="0" w:color="auto"/>
        <w:left w:val="none" w:sz="0" w:space="0" w:color="auto"/>
        <w:bottom w:val="none" w:sz="0" w:space="0" w:color="auto"/>
        <w:right w:val="none" w:sz="0" w:space="0" w:color="auto"/>
      </w:divBdr>
    </w:div>
    <w:div w:id="1956598212">
      <w:bodyDiv w:val="1"/>
      <w:marLeft w:val="0"/>
      <w:marRight w:val="0"/>
      <w:marTop w:val="0"/>
      <w:marBottom w:val="0"/>
      <w:divBdr>
        <w:top w:val="none" w:sz="0" w:space="0" w:color="auto"/>
        <w:left w:val="none" w:sz="0" w:space="0" w:color="auto"/>
        <w:bottom w:val="none" w:sz="0" w:space="0" w:color="auto"/>
        <w:right w:val="none" w:sz="0" w:space="0" w:color="auto"/>
      </w:divBdr>
    </w:div>
    <w:div w:id="1961257747">
      <w:bodyDiv w:val="1"/>
      <w:marLeft w:val="0"/>
      <w:marRight w:val="0"/>
      <w:marTop w:val="0"/>
      <w:marBottom w:val="0"/>
      <w:divBdr>
        <w:top w:val="none" w:sz="0" w:space="0" w:color="auto"/>
        <w:left w:val="none" w:sz="0" w:space="0" w:color="auto"/>
        <w:bottom w:val="none" w:sz="0" w:space="0" w:color="auto"/>
        <w:right w:val="none" w:sz="0" w:space="0" w:color="auto"/>
      </w:divBdr>
    </w:div>
    <w:div w:id="1982298008">
      <w:bodyDiv w:val="1"/>
      <w:marLeft w:val="0"/>
      <w:marRight w:val="0"/>
      <w:marTop w:val="0"/>
      <w:marBottom w:val="0"/>
      <w:divBdr>
        <w:top w:val="none" w:sz="0" w:space="0" w:color="auto"/>
        <w:left w:val="none" w:sz="0" w:space="0" w:color="auto"/>
        <w:bottom w:val="none" w:sz="0" w:space="0" w:color="auto"/>
        <w:right w:val="none" w:sz="0" w:space="0" w:color="auto"/>
      </w:divBdr>
    </w:div>
    <w:div w:id="1985694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ialaid.uoregon.edu/study-abro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uoregon.edu/scholarship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uoregon.edu/content/payments" TargetMode="External"/><Relationship Id="rId4" Type="http://schemas.openxmlformats.org/officeDocument/2006/relationships/settings" Target="settings.xml"/><Relationship Id="rId9" Type="http://schemas.openxmlformats.org/officeDocument/2006/relationships/hyperlink" Target="https://disabroad.org/application-and-fees/tuition-and-fees/cancellation-change-fe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03EED-5387-A44B-9B39-A7F2E5E3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emower</dc:creator>
  <cp:lastModifiedBy>Bernice Krakani</cp:lastModifiedBy>
  <cp:revision>2</cp:revision>
  <cp:lastPrinted>2015-10-26T23:04:00Z</cp:lastPrinted>
  <dcterms:created xsi:type="dcterms:W3CDTF">2024-08-20T00:40:00Z</dcterms:created>
  <dcterms:modified xsi:type="dcterms:W3CDTF">2024-08-20T00:40:00Z</dcterms:modified>
</cp:coreProperties>
</file>